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47AAB" w14:textId="77777777" w:rsidR="00191AD6" w:rsidRPr="000602BB" w:rsidRDefault="00191AD6">
      <w:pPr>
        <w:tabs>
          <w:tab w:val="left" w:pos="0"/>
        </w:tabs>
        <w:jc w:val="right"/>
        <w:rPr>
          <w:rFonts w:asciiTheme="majorHAnsi" w:hAnsiTheme="majorHAnsi"/>
        </w:rPr>
      </w:pPr>
    </w:p>
    <w:p w14:paraId="0E42BF60" w14:textId="77777777" w:rsidR="00191AD6" w:rsidRPr="000602BB" w:rsidRDefault="00452215">
      <w:pPr>
        <w:tabs>
          <w:tab w:val="left" w:pos="0"/>
        </w:tabs>
        <w:jc w:val="both"/>
        <w:rPr>
          <w:rFonts w:asciiTheme="majorHAnsi" w:hAnsiTheme="majorHAnsi"/>
          <w:b/>
        </w:rPr>
      </w:pPr>
      <w:r w:rsidRPr="000602BB">
        <w:rPr>
          <w:rFonts w:asciiTheme="majorHAnsi" w:hAnsiTheme="majorHAnsi"/>
          <w:noProof/>
          <w:lang w:val="en-US" w:eastAsia="en-US"/>
        </w:rPr>
        <w:drawing>
          <wp:anchor distT="0" distB="0" distL="0" distR="0" simplePos="0" relativeHeight="251658240" behindDoc="0" locked="0" layoutInCell="1" hidden="0" allowOverlap="1" wp14:anchorId="7BD70E08" wp14:editId="1D9ACDAC">
            <wp:simplePos x="0" y="0"/>
            <wp:positionH relativeFrom="margin">
              <wp:align>center</wp:align>
            </wp:positionH>
            <wp:positionV relativeFrom="paragraph">
              <wp:posOffset>0</wp:posOffset>
            </wp:positionV>
            <wp:extent cx="2191407" cy="788276"/>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91407" cy="788276"/>
                    </a:xfrm>
                    <a:prstGeom prst="rect">
                      <a:avLst/>
                    </a:prstGeom>
                    <a:ln/>
                  </pic:spPr>
                </pic:pic>
              </a:graphicData>
            </a:graphic>
          </wp:anchor>
        </w:drawing>
      </w:r>
    </w:p>
    <w:p w14:paraId="31B483C4" w14:textId="77777777" w:rsidR="00191AD6" w:rsidRPr="000602BB" w:rsidRDefault="00191AD6">
      <w:pPr>
        <w:tabs>
          <w:tab w:val="left" w:pos="0"/>
        </w:tabs>
        <w:jc w:val="both"/>
        <w:rPr>
          <w:rFonts w:asciiTheme="majorHAnsi" w:hAnsiTheme="majorHAnsi"/>
          <w:b/>
          <w:sz w:val="32"/>
          <w:szCs w:val="32"/>
        </w:rPr>
      </w:pPr>
    </w:p>
    <w:p w14:paraId="752FD163" w14:textId="77777777" w:rsidR="00191AD6" w:rsidRPr="000602BB" w:rsidRDefault="00191AD6">
      <w:pPr>
        <w:tabs>
          <w:tab w:val="left" w:pos="0"/>
        </w:tabs>
        <w:jc w:val="both"/>
        <w:rPr>
          <w:rFonts w:asciiTheme="majorHAnsi" w:hAnsiTheme="majorHAnsi"/>
          <w:sz w:val="32"/>
          <w:szCs w:val="32"/>
        </w:rPr>
      </w:pPr>
    </w:p>
    <w:p w14:paraId="4680C557" w14:textId="77777777" w:rsidR="00191AD6" w:rsidRPr="000602BB" w:rsidRDefault="00191AD6">
      <w:pPr>
        <w:tabs>
          <w:tab w:val="left" w:pos="0"/>
        </w:tabs>
        <w:jc w:val="both"/>
        <w:rPr>
          <w:rFonts w:asciiTheme="majorHAnsi" w:hAnsiTheme="majorHAnsi"/>
          <w:sz w:val="32"/>
          <w:szCs w:val="32"/>
        </w:rPr>
      </w:pPr>
    </w:p>
    <w:p w14:paraId="551F768B" w14:textId="77777777" w:rsidR="00191AD6" w:rsidRPr="000602BB" w:rsidRDefault="00191AD6">
      <w:pPr>
        <w:tabs>
          <w:tab w:val="left" w:pos="0"/>
        </w:tabs>
        <w:jc w:val="both"/>
        <w:rPr>
          <w:rFonts w:asciiTheme="majorHAnsi" w:hAnsiTheme="majorHAnsi"/>
          <w:sz w:val="32"/>
          <w:szCs w:val="32"/>
        </w:rPr>
      </w:pPr>
    </w:p>
    <w:p w14:paraId="41125781" w14:textId="3FAE1F57" w:rsidR="00191AD6" w:rsidRPr="006F1E0D" w:rsidRDefault="00452215" w:rsidP="006F1E0D">
      <w:pPr>
        <w:tabs>
          <w:tab w:val="left" w:pos="0"/>
        </w:tabs>
        <w:jc w:val="center"/>
        <w:rPr>
          <w:rFonts w:asciiTheme="majorHAnsi" w:hAnsiTheme="majorHAnsi"/>
          <w:b/>
          <w:sz w:val="32"/>
          <w:szCs w:val="32"/>
        </w:rPr>
      </w:pPr>
      <w:r w:rsidRPr="006F1E0D">
        <w:rPr>
          <w:rFonts w:asciiTheme="majorHAnsi" w:hAnsiTheme="majorHAnsi"/>
          <w:b/>
          <w:sz w:val="28"/>
          <w:szCs w:val="28"/>
        </w:rPr>
        <w:t xml:space="preserve">Global Covenant of Mayors </w:t>
      </w:r>
      <w:r w:rsidR="00BB3DE7" w:rsidRPr="006F1E0D">
        <w:rPr>
          <w:rFonts w:asciiTheme="majorHAnsi" w:hAnsiTheme="majorHAnsi"/>
          <w:b/>
          <w:sz w:val="28"/>
          <w:szCs w:val="28"/>
        </w:rPr>
        <w:br/>
        <w:t>Common Reporting Framework</w:t>
      </w:r>
    </w:p>
    <w:p w14:paraId="77B3CC19" w14:textId="77777777" w:rsidR="00191AD6" w:rsidRPr="000602BB" w:rsidRDefault="00191AD6">
      <w:pPr>
        <w:tabs>
          <w:tab w:val="left" w:pos="0"/>
        </w:tabs>
        <w:rPr>
          <w:rFonts w:asciiTheme="majorHAnsi" w:hAnsiTheme="majorHAnsi"/>
          <w:sz w:val="32"/>
          <w:szCs w:val="32"/>
        </w:rPr>
      </w:pPr>
    </w:p>
    <w:p w14:paraId="47A9CBED" w14:textId="77777777" w:rsidR="00191AD6" w:rsidRPr="000602BB" w:rsidRDefault="00191AD6">
      <w:pPr>
        <w:tabs>
          <w:tab w:val="left" w:pos="0"/>
        </w:tabs>
        <w:jc w:val="center"/>
        <w:rPr>
          <w:rFonts w:asciiTheme="majorHAnsi" w:hAnsiTheme="majorHAnsi"/>
          <w:sz w:val="32"/>
          <w:szCs w:val="32"/>
        </w:rPr>
      </w:pPr>
    </w:p>
    <w:p w14:paraId="58010BDA" w14:textId="77777777" w:rsidR="00191AD6" w:rsidRPr="000602BB" w:rsidRDefault="00191AD6">
      <w:pPr>
        <w:tabs>
          <w:tab w:val="left" w:pos="0"/>
        </w:tabs>
        <w:jc w:val="center"/>
        <w:rPr>
          <w:rFonts w:asciiTheme="majorHAnsi" w:hAnsiTheme="majorHAnsi"/>
          <w:sz w:val="32"/>
          <w:szCs w:val="32"/>
        </w:rPr>
      </w:pPr>
    </w:p>
    <w:p w14:paraId="3B309259" w14:textId="77777777" w:rsidR="00191AD6" w:rsidRPr="000602BB" w:rsidRDefault="00191AD6">
      <w:pPr>
        <w:tabs>
          <w:tab w:val="left" w:pos="0"/>
        </w:tabs>
        <w:jc w:val="center"/>
        <w:rPr>
          <w:rFonts w:asciiTheme="majorHAnsi" w:hAnsiTheme="majorHAnsi"/>
          <w:sz w:val="32"/>
          <w:szCs w:val="32"/>
        </w:rPr>
      </w:pPr>
    </w:p>
    <w:p w14:paraId="516B263D" w14:textId="77777777" w:rsidR="00191AD6" w:rsidRPr="000602BB" w:rsidRDefault="00191AD6">
      <w:pPr>
        <w:tabs>
          <w:tab w:val="left" w:pos="0"/>
        </w:tabs>
        <w:jc w:val="center"/>
        <w:rPr>
          <w:rFonts w:asciiTheme="majorHAnsi" w:hAnsiTheme="majorHAnsi"/>
          <w:sz w:val="32"/>
          <w:szCs w:val="32"/>
        </w:rPr>
      </w:pPr>
    </w:p>
    <w:p w14:paraId="16A6DE0F" w14:textId="77DF3FF2" w:rsidR="00191AD6" w:rsidRPr="000602BB" w:rsidRDefault="00452215">
      <w:pPr>
        <w:tabs>
          <w:tab w:val="left" w:pos="0"/>
        </w:tabs>
        <w:jc w:val="center"/>
        <w:rPr>
          <w:rFonts w:asciiTheme="majorHAnsi" w:hAnsiTheme="majorHAnsi"/>
          <w:b/>
        </w:rPr>
      </w:pPr>
      <w:r w:rsidRPr="000602BB">
        <w:rPr>
          <w:rFonts w:asciiTheme="majorHAnsi" w:hAnsiTheme="majorHAnsi"/>
          <w:b/>
        </w:rPr>
        <w:t xml:space="preserve">Version </w:t>
      </w:r>
      <w:r w:rsidR="006F1E0D">
        <w:rPr>
          <w:rFonts w:asciiTheme="majorHAnsi" w:hAnsiTheme="majorHAnsi"/>
          <w:b/>
        </w:rPr>
        <w:t>6</w:t>
      </w:r>
      <w:r w:rsidRPr="000602BB">
        <w:rPr>
          <w:rFonts w:asciiTheme="majorHAnsi" w:hAnsiTheme="majorHAnsi"/>
          <w:b/>
        </w:rPr>
        <w:t>.0</w:t>
      </w:r>
    </w:p>
    <w:p w14:paraId="1AA1AE82" w14:textId="6760CF6B" w:rsidR="00191AD6" w:rsidRDefault="006F1E0D">
      <w:pPr>
        <w:tabs>
          <w:tab w:val="left" w:pos="0"/>
        </w:tabs>
        <w:jc w:val="center"/>
        <w:rPr>
          <w:rFonts w:asciiTheme="majorHAnsi" w:hAnsiTheme="majorHAnsi"/>
        </w:rPr>
      </w:pPr>
      <w:r>
        <w:rPr>
          <w:rFonts w:asciiTheme="majorHAnsi" w:hAnsiTheme="majorHAnsi"/>
        </w:rPr>
        <w:t>September 13</w:t>
      </w:r>
      <w:r w:rsidRPr="006F1E0D">
        <w:rPr>
          <w:rFonts w:asciiTheme="majorHAnsi" w:hAnsiTheme="majorHAnsi"/>
          <w:vertAlign w:val="superscript"/>
        </w:rPr>
        <w:t>th</w:t>
      </w:r>
      <w:r w:rsidR="00452215" w:rsidRPr="000602BB">
        <w:rPr>
          <w:rFonts w:asciiTheme="majorHAnsi" w:hAnsiTheme="majorHAnsi"/>
        </w:rPr>
        <w:t>, 2018</w:t>
      </w:r>
    </w:p>
    <w:p w14:paraId="0898ED04" w14:textId="77777777" w:rsidR="00772F1A" w:rsidRDefault="00772F1A">
      <w:pPr>
        <w:tabs>
          <w:tab w:val="left" w:pos="0"/>
        </w:tabs>
        <w:jc w:val="center"/>
        <w:rPr>
          <w:rFonts w:asciiTheme="majorHAnsi" w:hAnsiTheme="majorHAnsi"/>
        </w:rPr>
      </w:pPr>
    </w:p>
    <w:p w14:paraId="08669386" w14:textId="77777777" w:rsidR="00191AD6" w:rsidRPr="000602BB" w:rsidRDefault="00452215">
      <w:pPr>
        <w:pStyle w:val="Heading2"/>
        <w:spacing w:before="0" w:line="276" w:lineRule="auto"/>
        <w:contextualSpacing w:val="0"/>
        <w:rPr>
          <w:rFonts w:asciiTheme="majorHAnsi" w:eastAsia="Calibri" w:hAnsiTheme="majorHAnsi" w:cs="Calibri"/>
        </w:rPr>
      </w:pPr>
      <w:bookmarkStart w:id="0" w:name="_1ksv4uv" w:colFirst="0" w:colLast="0"/>
      <w:bookmarkStart w:id="1" w:name="_Toc520794129"/>
      <w:bookmarkEnd w:id="0"/>
      <w:r w:rsidRPr="000602BB">
        <w:rPr>
          <w:rFonts w:asciiTheme="majorHAnsi" w:eastAsia="Calibri" w:hAnsiTheme="majorHAnsi" w:cs="Calibri"/>
        </w:rPr>
        <w:t>4. Target Setting</w:t>
      </w:r>
      <w:bookmarkEnd w:id="1"/>
    </w:p>
    <w:p w14:paraId="62363333" w14:textId="31E3DF67" w:rsidR="00191AD6" w:rsidRPr="008B1401" w:rsidRDefault="00452215">
      <w:pPr>
        <w:jc w:val="both"/>
        <w:rPr>
          <w:rFonts w:asciiTheme="majorHAnsi" w:hAnsiTheme="majorHAnsi"/>
        </w:rPr>
      </w:pPr>
      <w:r w:rsidRPr="000602BB">
        <w:rPr>
          <w:rFonts w:asciiTheme="majorHAnsi" w:hAnsiTheme="majorHAnsi"/>
        </w:rPr>
        <w:t xml:space="preserve">All local governments and cities are required to set and report </w:t>
      </w:r>
      <w:proofErr w:type="gramStart"/>
      <w:r w:rsidRPr="000602BB">
        <w:rPr>
          <w:rFonts w:asciiTheme="majorHAnsi" w:hAnsiTheme="majorHAnsi"/>
        </w:rPr>
        <w:t>city-wide</w:t>
      </w:r>
      <w:proofErr w:type="gramEnd"/>
      <w:r w:rsidRPr="000602BB">
        <w:rPr>
          <w:rFonts w:asciiTheme="majorHAnsi" w:hAnsiTheme="majorHAnsi"/>
        </w:rPr>
        <w:t xml:space="preserve"> emissions </w:t>
      </w:r>
      <w:r w:rsidRPr="008B1401">
        <w:rPr>
          <w:rFonts w:asciiTheme="majorHAnsi" w:hAnsiTheme="majorHAnsi"/>
        </w:rPr>
        <w:t xml:space="preserve">reduction targets. The GCoM defines eight categories of requirements for target setting, as explained below. </w:t>
      </w:r>
    </w:p>
    <w:p w14:paraId="54571C38" w14:textId="4000022D" w:rsidR="00191AD6" w:rsidRPr="000602BB" w:rsidRDefault="00452215">
      <w:pPr>
        <w:jc w:val="both"/>
        <w:rPr>
          <w:rFonts w:asciiTheme="majorHAnsi" w:hAnsiTheme="majorHAnsi"/>
        </w:rPr>
      </w:pPr>
      <w:r w:rsidRPr="000602BB">
        <w:rPr>
          <w:rFonts w:asciiTheme="majorHAnsi" w:hAnsiTheme="majorHAnsi"/>
        </w:rPr>
        <w:t xml:space="preserve">Local governments </w:t>
      </w:r>
      <w:r w:rsidRPr="000602BB">
        <w:rPr>
          <w:rFonts w:asciiTheme="majorHAnsi" w:hAnsiTheme="majorHAnsi"/>
          <w:b/>
        </w:rPr>
        <w:t>shall</w:t>
      </w:r>
      <w:r w:rsidRPr="000602BB">
        <w:rPr>
          <w:rFonts w:asciiTheme="majorHAnsi" w:hAnsiTheme="majorHAnsi"/>
        </w:rPr>
        <w:t xml:space="preserve"> submit their greenhouse gas emissions reduction target(s) to GCoM within two years </w:t>
      </w:r>
      <w:r w:rsidR="0093686D">
        <w:rPr>
          <w:rFonts w:asciiTheme="majorHAnsi" w:hAnsiTheme="majorHAnsi"/>
        </w:rPr>
        <w:t>upon</w:t>
      </w:r>
      <w:r w:rsidR="0093686D" w:rsidRPr="000602BB">
        <w:rPr>
          <w:rFonts w:asciiTheme="majorHAnsi" w:hAnsiTheme="majorHAnsi"/>
        </w:rPr>
        <w:t xml:space="preserve"> </w:t>
      </w:r>
      <w:r w:rsidRPr="000602BB">
        <w:rPr>
          <w:rFonts w:asciiTheme="majorHAnsi" w:hAnsiTheme="majorHAnsi"/>
        </w:rPr>
        <w:t>joining GCoM.</w:t>
      </w:r>
    </w:p>
    <w:p w14:paraId="2CE27161" w14:textId="77777777" w:rsidR="00191AD6" w:rsidRPr="000602BB" w:rsidRDefault="00452215">
      <w:pPr>
        <w:jc w:val="both"/>
        <w:rPr>
          <w:rFonts w:asciiTheme="majorHAnsi" w:hAnsiTheme="majorHAnsi"/>
          <w:b/>
        </w:rPr>
      </w:pPr>
      <w:r w:rsidRPr="000602BB">
        <w:rPr>
          <w:rFonts w:asciiTheme="majorHAnsi" w:hAnsiTheme="majorHAnsi"/>
          <w:b/>
        </w:rPr>
        <w:t>(1) Boundary (geographic coverage, sectors, and GHGs)</w:t>
      </w:r>
    </w:p>
    <w:p w14:paraId="06245256" w14:textId="7217FC43" w:rsidR="00191AD6" w:rsidRPr="000602BB" w:rsidRDefault="00452215">
      <w:pPr>
        <w:jc w:val="both"/>
        <w:rPr>
          <w:rFonts w:asciiTheme="majorHAnsi" w:hAnsiTheme="majorHAnsi"/>
        </w:rPr>
      </w:pPr>
      <w:r w:rsidRPr="00B70B2F">
        <w:rPr>
          <w:rFonts w:asciiTheme="majorHAnsi" w:hAnsiTheme="majorHAnsi"/>
        </w:rPr>
        <w:t xml:space="preserve">The </w:t>
      </w:r>
      <w:r w:rsidR="0093686D" w:rsidRPr="00B70B2F">
        <w:rPr>
          <w:rFonts w:asciiTheme="majorHAnsi" w:hAnsiTheme="majorHAnsi"/>
        </w:rPr>
        <w:t>target</w:t>
      </w:r>
      <w:r w:rsidRPr="00B70B2F">
        <w:rPr>
          <w:rFonts w:asciiTheme="majorHAnsi" w:hAnsiTheme="majorHAnsi"/>
        </w:rPr>
        <w:t xml:space="preserve"> boundary</w:t>
      </w:r>
      <w:r w:rsidRPr="00B70B2F">
        <w:rPr>
          <w:rFonts w:asciiTheme="majorHAnsi" w:hAnsiTheme="majorHAnsi"/>
          <w:vertAlign w:val="superscript"/>
        </w:rPr>
        <w:footnoteReference w:id="1"/>
      </w:r>
      <w:r w:rsidRPr="00B70B2F">
        <w:rPr>
          <w:rFonts w:asciiTheme="majorHAnsi" w:hAnsiTheme="majorHAnsi"/>
        </w:rPr>
        <w:t xml:space="preserve"> </w:t>
      </w:r>
      <w:r w:rsidRPr="00B70B2F">
        <w:rPr>
          <w:rFonts w:asciiTheme="majorHAnsi" w:hAnsiTheme="majorHAnsi"/>
          <w:b/>
        </w:rPr>
        <w:t>shall</w:t>
      </w:r>
      <w:r w:rsidRPr="00B70B2F">
        <w:rPr>
          <w:rFonts w:asciiTheme="majorHAnsi" w:hAnsiTheme="majorHAnsi"/>
        </w:rPr>
        <w:t xml:space="preserve"> be consistent with all emissions sources included in the GHG emissions inventory, with the possibility to exclude sources that are not controlled by the local government. In case that the target boundary does not align with the inventory boundary, any additions or </w:t>
      </w:r>
      <w:r w:rsidRPr="00B70B2F">
        <w:rPr>
          <w:rFonts w:asciiTheme="majorHAnsi" w:hAnsiTheme="majorHAnsi"/>
        </w:rPr>
        <w:lastRenderedPageBreak/>
        <w:t xml:space="preserve">exclusions </w:t>
      </w:r>
      <w:r w:rsidRPr="00B70B2F">
        <w:rPr>
          <w:rFonts w:asciiTheme="majorHAnsi" w:hAnsiTheme="majorHAnsi"/>
          <w:b/>
        </w:rPr>
        <w:t>shall</w:t>
      </w:r>
      <w:r w:rsidRPr="00B70B2F">
        <w:rPr>
          <w:rFonts w:asciiTheme="majorHAnsi" w:hAnsiTheme="majorHAnsi"/>
        </w:rPr>
        <w:t xml:space="preserve"> be specified and justified. </w:t>
      </w:r>
      <w:proofErr w:type="gramStart"/>
      <w:r w:rsidRPr="00B70B2F">
        <w:rPr>
          <w:rFonts w:asciiTheme="majorHAnsi" w:hAnsiTheme="majorHAnsi"/>
        </w:rPr>
        <w:t xml:space="preserve">All exclusions </w:t>
      </w:r>
      <w:r w:rsidRPr="00B70B2F">
        <w:rPr>
          <w:rFonts w:asciiTheme="majorHAnsi" w:hAnsiTheme="majorHAnsi"/>
          <w:b/>
        </w:rPr>
        <w:t>shall</w:t>
      </w:r>
      <w:r w:rsidRPr="00B70B2F">
        <w:rPr>
          <w:rFonts w:asciiTheme="majorHAnsi" w:hAnsiTheme="majorHAnsi"/>
        </w:rPr>
        <w:t xml:space="preserve"> be indicated by the notation key “Included Elsewhere” (IE), along with clear justification</w:t>
      </w:r>
      <w:proofErr w:type="gramEnd"/>
      <w:r w:rsidRPr="00B70B2F">
        <w:rPr>
          <w:rFonts w:asciiTheme="majorHAnsi" w:hAnsiTheme="majorHAnsi"/>
        </w:rPr>
        <w:t>.</w:t>
      </w:r>
      <w:r w:rsidRPr="00B70B2F">
        <w:rPr>
          <w:rFonts w:asciiTheme="majorHAnsi" w:hAnsiTheme="majorHAnsi"/>
          <w:vertAlign w:val="superscript"/>
        </w:rPr>
        <w:footnoteReference w:id="2"/>
      </w:r>
      <w:r w:rsidR="00F35229" w:rsidRPr="00B70B2F">
        <w:rPr>
          <w:rFonts w:asciiTheme="majorHAnsi" w:hAnsiTheme="majorHAnsi"/>
        </w:rPr>
        <w:t xml:space="preserve"> Local governments are </w:t>
      </w:r>
      <w:r w:rsidR="00F35229" w:rsidRPr="00B70B2F">
        <w:rPr>
          <w:rFonts w:asciiTheme="majorHAnsi" w:hAnsiTheme="majorHAnsi"/>
          <w:b/>
        </w:rPr>
        <w:t>recommended</w:t>
      </w:r>
      <w:r w:rsidR="00F35229" w:rsidRPr="00B70B2F">
        <w:rPr>
          <w:rFonts w:asciiTheme="majorHAnsi" w:hAnsiTheme="majorHAnsi"/>
        </w:rPr>
        <w:t xml:space="preserve"> to report any sector-level targets alongside their </w:t>
      </w:r>
      <w:proofErr w:type="gramStart"/>
      <w:r w:rsidR="00F35229" w:rsidRPr="00B70B2F">
        <w:rPr>
          <w:rFonts w:asciiTheme="majorHAnsi" w:hAnsiTheme="majorHAnsi"/>
        </w:rPr>
        <w:t>city-wide</w:t>
      </w:r>
      <w:proofErr w:type="gramEnd"/>
      <w:r w:rsidR="00F35229" w:rsidRPr="00B70B2F">
        <w:rPr>
          <w:rFonts w:asciiTheme="majorHAnsi" w:hAnsiTheme="majorHAnsi"/>
        </w:rPr>
        <w:t xml:space="preserve"> target(s).</w:t>
      </w:r>
    </w:p>
    <w:p w14:paraId="3A775448" w14:textId="77777777" w:rsidR="00191AD6" w:rsidRPr="000602BB" w:rsidRDefault="00452215">
      <w:pPr>
        <w:jc w:val="both"/>
        <w:rPr>
          <w:rFonts w:asciiTheme="majorHAnsi" w:hAnsiTheme="majorHAnsi"/>
          <w:b/>
        </w:rPr>
      </w:pPr>
      <w:r w:rsidRPr="000602BB">
        <w:rPr>
          <w:rFonts w:asciiTheme="majorHAnsi" w:hAnsiTheme="majorHAnsi"/>
          <w:b/>
        </w:rPr>
        <w:t>(2) Target type</w:t>
      </w:r>
    </w:p>
    <w:p w14:paraId="0EE919FD" w14:textId="77777777" w:rsidR="00191AD6" w:rsidRPr="000602BB" w:rsidRDefault="00452215">
      <w:pPr>
        <w:jc w:val="both"/>
        <w:rPr>
          <w:rFonts w:asciiTheme="majorHAnsi" w:hAnsiTheme="majorHAnsi"/>
        </w:rPr>
      </w:pPr>
      <w:r w:rsidRPr="000602BB">
        <w:rPr>
          <w:rFonts w:asciiTheme="majorHAnsi" w:hAnsiTheme="majorHAnsi"/>
        </w:rPr>
        <w:t xml:space="preserve">Local governments </w:t>
      </w:r>
      <w:r w:rsidRPr="000602BB">
        <w:rPr>
          <w:rFonts w:asciiTheme="majorHAnsi" w:hAnsiTheme="majorHAnsi"/>
          <w:b/>
        </w:rPr>
        <w:t xml:space="preserve">shall </w:t>
      </w:r>
      <w:r w:rsidRPr="000602BB">
        <w:rPr>
          <w:rFonts w:asciiTheme="majorHAnsi" w:hAnsiTheme="majorHAnsi"/>
        </w:rPr>
        <w:t>use one of the following four target types: base year emissions target, base year intensity target, baseline scenario target, or fixed level target</w:t>
      </w:r>
      <w:r w:rsidRPr="000602BB">
        <w:rPr>
          <w:rFonts w:asciiTheme="majorHAnsi" w:hAnsiTheme="majorHAnsi"/>
          <w:vertAlign w:val="superscript"/>
        </w:rPr>
        <w:footnoteReference w:id="3"/>
      </w:r>
      <w:r w:rsidRPr="000602BB">
        <w:rPr>
          <w:rFonts w:asciiTheme="majorHAnsi" w:hAnsiTheme="majorHAnsi"/>
        </w:rPr>
        <w:t xml:space="preserve">. For a baseline scenario target, the modelling methodologies, and parameters </w:t>
      </w:r>
      <w:r w:rsidRPr="000602BB">
        <w:rPr>
          <w:rFonts w:asciiTheme="majorHAnsi" w:hAnsiTheme="majorHAnsi"/>
          <w:b/>
        </w:rPr>
        <w:t>shall</w:t>
      </w:r>
      <w:r w:rsidRPr="000602BB">
        <w:rPr>
          <w:rFonts w:asciiTheme="majorHAnsi" w:hAnsiTheme="majorHAnsi"/>
        </w:rPr>
        <w:t xml:space="preserve"> be transparently described.</w:t>
      </w:r>
    </w:p>
    <w:p w14:paraId="1F96AB7F" w14:textId="77777777" w:rsidR="00191AD6" w:rsidRPr="000602BB" w:rsidRDefault="00452215">
      <w:pPr>
        <w:ind w:right="-60"/>
        <w:jc w:val="both"/>
        <w:rPr>
          <w:rFonts w:asciiTheme="majorHAnsi" w:hAnsiTheme="majorHAnsi"/>
          <w:b/>
        </w:rPr>
      </w:pPr>
      <w:r w:rsidRPr="000602BB">
        <w:rPr>
          <w:rFonts w:asciiTheme="majorHAnsi" w:hAnsiTheme="majorHAnsi"/>
          <w:noProof/>
          <w:lang w:val="en-US" w:eastAsia="en-US"/>
        </w:rPr>
        <mc:AlternateContent>
          <mc:Choice Requires="wps">
            <w:drawing>
              <wp:inline distT="0" distB="0" distL="0" distR="0" wp14:anchorId="7ECA7F9B" wp14:editId="66B532E7">
                <wp:extent cx="5715000" cy="2903855"/>
                <wp:effectExtent l="0" t="0" r="19050" b="10795"/>
                <wp:docPr id="2" name="Rectangle 2"/>
                <wp:cNvGraphicFramePr/>
                <a:graphic xmlns:a="http://schemas.openxmlformats.org/drawingml/2006/main">
                  <a:graphicData uri="http://schemas.microsoft.com/office/word/2010/wordprocessingShape">
                    <wps:wsp>
                      <wps:cNvSpPr/>
                      <wps:spPr>
                        <a:xfrm>
                          <a:off x="0" y="0"/>
                          <a:ext cx="5715000" cy="29038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A5542E" w14:textId="77777777" w:rsidR="00B70B2F" w:rsidRDefault="00B70B2F">
                            <w:pPr>
                              <w:spacing w:after="120" w:line="275" w:lineRule="auto"/>
                              <w:jc w:val="both"/>
                              <w:textDirection w:val="btLr"/>
                            </w:pPr>
                            <w:r>
                              <w:rPr>
                                <w:b/>
                                <w:color w:val="000000"/>
                                <w:sz w:val="20"/>
                              </w:rPr>
                              <w:t>Base year emissions target</w:t>
                            </w:r>
                            <w:r>
                              <w:rPr>
                                <w:color w:val="000000"/>
                                <w:sz w:val="20"/>
                              </w:rPr>
                              <w:t xml:space="preserve">: Reduce, or control the increase of, emissions by a specified quantity relative to a base year. </w:t>
                            </w:r>
                            <w:proofErr w:type="gramStart"/>
                            <w:r>
                              <w:rPr>
                                <w:color w:val="000000"/>
                                <w:sz w:val="20"/>
                              </w:rPr>
                              <w:t>For example, a 25% reduction from 1990 levels by 2030.</w:t>
                            </w:r>
                            <w:proofErr w:type="gramEnd"/>
                          </w:p>
                          <w:p w14:paraId="329B28C7" w14:textId="77777777" w:rsidR="00B70B2F" w:rsidRDefault="00B70B2F">
                            <w:pPr>
                              <w:spacing w:after="120" w:line="275" w:lineRule="auto"/>
                              <w:jc w:val="both"/>
                              <w:textDirection w:val="btLr"/>
                            </w:pPr>
                            <w:r>
                              <w:rPr>
                                <w:b/>
                                <w:color w:val="000000"/>
                                <w:sz w:val="20"/>
                              </w:rPr>
                              <w:t>Base year intensity target</w:t>
                            </w:r>
                            <w:r>
                              <w:rPr>
                                <w:color w:val="000000"/>
                                <w:sz w:val="20"/>
                              </w:rPr>
                              <w:t>: Reduce emissions intensity (emissions per unit of another variable, typically GDP or capital Gross Domestic Product – GDP or per capita) by a specified quantity relative to a base year. For example, a 40% reduction from 1990 base year intensity by 2030.</w:t>
                            </w:r>
                          </w:p>
                          <w:p w14:paraId="05781963" w14:textId="77777777" w:rsidR="00B70B2F" w:rsidRDefault="00B70B2F">
                            <w:pPr>
                              <w:spacing w:after="120" w:line="275" w:lineRule="auto"/>
                              <w:jc w:val="both"/>
                              <w:textDirection w:val="btLr"/>
                            </w:pPr>
                            <w:r>
                              <w:rPr>
                                <w:b/>
                                <w:color w:val="000000"/>
                                <w:sz w:val="20"/>
                              </w:rPr>
                              <w:t>Baseline scenario target</w:t>
                            </w:r>
                            <w:r>
                              <w:rPr>
                                <w:color w:val="000000"/>
                                <w:sz w:val="20"/>
                              </w:rPr>
                              <w:t xml:space="preserve">: Reduce emissions by a specified quantity relative to a projected emissions baseline scenario. A Business as Usual (BaU) baseline scenario is a reference case that represents future events or conditions most likely to occur in the absence of activities taken to meet the mitigation target. </w:t>
                            </w:r>
                            <w:proofErr w:type="gramStart"/>
                            <w:r>
                              <w:rPr>
                                <w:color w:val="000000"/>
                                <w:sz w:val="20"/>
                              </w:rPr>
                              <w:t>For example, a 30% reduction from baseline scenario emissions in 2030.</w:t>
                            </w:r>
                            <w:proofErr w:type="gramEnd"/>
                          </w:p>
                          <w:p w14:paraId="6B729C31" w14:textId="77777777" w:rsidR="00B70B2F" w:rsidRDefault="00B70B2F">
                            <w:pPr>
                              <w:spacing w:after="120" w:line="275" w:lineRule="auto"/>
                              <w:jc w:val="both"/>
                              <w:textDirection w:val="btLr"/>
                            </w:pPr>
                            <w:r>
                              <w:rPr>
                                <w:b/>
                                <w:color w:val="000000"/>
                                <w:sz w:val="20"/>
                              </w:rPr>
                              <w:t>Fixed-level target</w:t>
                            </w:r>
                            <w:r>
                              <w:rPr>
                                <w:color w:val="000000"/>
                                <w:sz w:val="20"/>
                              </w:rPr>
                              <w:t>: Reduce, or control the increase of, emissions to an absolute emissions level in a target year. One type of fixed-level target is a carbon neutrality target, which is designed to reach zero net emissions by a certain date (e.g. 2050).</w:t>
                            </w:r>
                          </w:p>
                          <w:p w14:paraId="26DEEA9B" w14:textId="77777777" w:rsidR="00B70B2F" w:rsidRDefault="00B70B2F">
                            <w:pPr>
                              <w:spacing w:after="120" w:line="275" w:lineRule="auto"/>
                              <w:jc w:val="both"/>
                              <w:textDirection w:val="btLr"/>
                            </w:pPr>
                            <w:r>
                              <w:rPr>
                                <w:i/>
                                <w:color w:val="000000"/>
                                <w:sz w:val="18"/>
                              </w:rPr>
                              <w:t>(Source: Greenhouse Gas Protocol Mitigation Goal Standard)</w:t>
                            </w:r>
                          </w:p>
                        </w:txbxContent>
                      </wps:txbx>
                      <wps:bodyPr spcFirstLastPara="1" wrap="square" lIns="91425" tIns="45700" rIns="91425" bIns="45700" anchor="t" anchorCtr="0"/>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ECA7F9B" id="Rectangle 2" o:spid="_x0000_s1026" style="width:450pt;height:2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">
                <v:stroke startarrowwidth="narrow" startarrowlength="short" endarrowwidth="narrow" endarrowlength="short"/>
                <v:textbox inset="2.53958mm,1.2694mm,2.53958mm,1.2694mm">
                  <w:txbxContent>
                    <w:p w14:paraId="05A5542E" w14:textId="77777777" w:rsidR="00A373EE" w:rsidRDefault="00A373EE">
                      <w:pPr>
                        <w:spacing w:after="120" w:line="275" w:lineRule="auto"/>
                        <w:jc w:val="both"/>
                        <w:textDirection w:val="btLr"/>
                      </w:pPr>
                      <w:r>
                        <w:rPr>
                          <w:b/>
                          <w:color w:val="000000"/>
                          <w:sz w:val="20"/>
                        </w:rPr>
                        <w:t>Base year emissions target</w:t>
                      </w:r>
                      <w:r>
                        <w:rPr>
                          <w:color w:val="000000"/>
                          <w:sz w:val="20"/>
                        </w:rPr>
                        <w:t>: Reduce, or control the increase of, emissions by a specified quantity relative to a base year. For example, a 25% reduction from 1990 levels by 2030.</w:t>
                      </w:r>
                    </w:p>
                    <w:p w14:paraId="329B28C7" w14:textId="77777777" w:rsidR="00A373EE" w:rsidRDefault="00A373EE">
                      <w:pPr>
                        <w:spacing w:after="120" w:line="275" w:lineRule="auto"/>
                        <w:jc w:val="both"/>
                        <w:textDirection w:val="btLr"/>
                      </w:pPr>
                      <w:r>
                        <w:rPr>
                          <w:b/>
                          <w:color w:val="000000"/>
                          <w:sz w:val="20"/>
                        </w:rPr>
                        <w:t>Base year intensity target</w:t>
                      </w:r>
                      <w:r>
                        <w:rPr>
                          <w:color w:val="000000"/>
                          <w:sz w:val="20"/>
                        </w:rPr>
                        <w:t>: Reduce emissions intensity (emissions per unit of another variable, typically GDP or capital Gross Domestic Product – GDP or per capita) by a specified quantity relative to a base year. For example, a 40% reduction from 1990 base year intensity by 2030.</w:t>
                      </w:r>
                    </w:p>
                    <w:p w14:paraId="05781963" w14:textId="77777777" w:rsidR="00A373EE" w:rsidRDefault="00A373EE">
                      <w:pPr>
                        <w:spacing w:after="120" w:line="275" w:lineRule="auto"/>
                        <w:jc w:val="both"/>
                        <w:textDirection w:val="btLr"/>
                      </w:pPr>
                      <w:r>
                        <w:rPr>
                          <w:b/>
                          <w:color w:val="000000"/>
                          <w:sz w:val="20"/>
                        </w:rPr>
                        <w:t>Baseline scenario target</w:t>
                      </w:r>
                      <w:r>
                        <w:rPr>
                          <w:color w:val="000000"/>
                          <w:sz w:val="20"/>
                        </w:rPr>
                        <w:t>: Reduce emissions by a specified quantity relative to a projected emissions baseline scenario. A Business as Usual (BaU) baseline scenario is a reference case that represents future events or conditions most likely to occur in the absence of activities taken to meet the mitigation target. For example, a 30% reduction from baseline scenario emissions in 2030.</w:t>
                      </w:r>
                    </w:p>
                    <w:p w14:paraId="6B729C31" w14:textId="77777777" w:rsidR="00A373EE" w:rsidRDefault="00A373EE">
                      <w:pPr>
                        <w:spacing w:after="120" w:line="275" w:lineRule="auto"/>
                        <w:jc w:val="both"/>
                        <w:textDirection w:val="btLr"/>
                      </w:pPr>
                      <w:r>
                        <w:rPr>
                          <w:b/>
                          <w:color w:val="000000"/>
                          <w:sz w:val="20"/>
                        </w:rPr>
                        <w:t>Fixed-level target</w:t>
                      </w:r>
                      <w:r>
                        <w:rPr>
                          <w:color w:val="000000"/>
                          <w:sz w:val="20"/>
                        </w:rPr>
                        <w:t>: Reduce, or control the increase of, emissions to an absolute emissions level in a target year. One type of fixed-level target is a carbon neutrality target, which is designed to reach zero net emissions by a certain date (e.g. 2050).</w:t>
                      </w:r>
                    </w:p>
                    <w:p w14:paraId="26DEEA9B" w14:textId="77777777" w:rsidR="00A373EE" w:rsidRDefault="00A373EE">
                      <w:pPr>
                        <w:spacing w:after="120" w:line="275" w:lineRule="auto"/>
                        <w:jc w:val="both"/>
                        <w:textDirection w:val="btLr"/>
                      </w:pPr>
                      <w:r>
                        <w:rPr>
                          <w:i/>
                          <w:color w:val="000000"/>
                          <w:sz w:val="18"/>
                        </w:rPr>
                        <w:t>(Source: Greenhouse Gas Protocol Mitigation Goal Standard)</w:t>
                      </w:r>
                    </w:p>
                  </w:txbxContent>
                </v:textbox>
                <w10:anchorlock/>
              </v:rect>
            </w:pict>
          </mc:Fallback>
        </mc:AlternateContent>
      </w:r>
    </w:p>
    <w:p w14:paraId="63D78A3D" w14:textId="77777777" w:rsidR="008B1401" w:rsidRDefault="008B1401">
      <w:pPr>
        <w:rPr>
          <w:rFonts w:asciiTheme="majorHAnsi" w:hAnsiTheme="majorHAnsi"/>
          <w:b/>
        </w:rPr>
      </w:pPr>
      <w:r>
        <w:rPr>
          <w:rFonts w:asciiTheme="majorHAnsi" w:hAnsiTheme="majorHAnsi"/>
          <w:b/>
        </w:rPr>
        <w:br w:type="page"/>
      </w:r>
    </w:p>
    <w:p w14:paraId="723DDD88" w14:textId="412C842D" w:rsidR="00191AD6" w:rsidRPr="000602BB" w:rsidRDefault="00452215">
      <w:pPr>
        <w:jc w:val="both"/>
        <w:rPr>
          <w:rFonts w:asciiTheme="majorHAnsi" w:hAnsiTheme="majorHAnsi"/>
        </w:rPr>
      </w:pPr>
      <w:r w:rsidRPr="000602BB">
        <w:rPr>
          <w:rFonts w:asciiTheme="majorHAnsi" w:hAnsiTheme="majorHAnsi"/>
          <w:b/>
        </w:rPr>
        <w:lastRenderedPageBreak/>
        <w:t>(3) Target year</w:t>
      </w:r>
    </w:p>
    <w:p w14:paraId="4A68A5AA" w14:textId="363D0F22" w:rsidR="00191AD6" w:rsidRDefault="00452215">
      <w:pPr>
        <w:jc w:val="both"/>
        <w:rPr>
          <w:rFonts w:asciiTheme="majorHAnsi" w:hAnsiTheme="majorHAnsi"/>
        </w:rPr>
      </w:pPr>
      <w:r w:rsidRPr="000602BB">
        <w:rPr>
          <w:rFonts w:asciiTheme="majorHAnsi" w:hAnsiTheme="majorHAnsi"/>
        </w:rPr>
        <w:t xml:space="preserve">The target year </w:t>
      </w:r>
      <w:r w:rsidRPr="000602BB">
        <w:rPr>
          <w:rFonts w:asciiTheme="majorHAnsi" w:hAnsiTheme="majorHAnsi"/>
          <w:b/>
        </w:rPr>
        <w:t>shall</w:t>
      </w:r>
      <w:r w:rsidRPr="000602BB">
        <w:rPr>
          <w:rFonts w:asciiTheme="majorHAnsi" w:hAnsiTheme="majorHAnsi"/>
        </w:rPr>
        <w:t xml:space="preserve"> be the same as</w:t>
      </w:r>
      <w:r w:rsidR="00F35229">
        <w:rPr>
          <w:rFonts w:asciiTheme="majorHAnsi" w:hAnsiTheme="majorHAnsi"/>
        </w:rPr>
        <w:t>, or later than,</w:t>
      </w:r>
      <w:r w:rsidRPr="000602BB">
        <w:rPr>
          <w:rFonts w:asciiTheme="majorHAnsi" w:hAnsiTheme="majorHAnsi"/>
        </w:rPr>
        <w:t xml:space="preserve"> the target year adopted in the Nationally Determined Contribution (NDC</w:t>
      </w:r>
      <w:bookmarkStart w:id="2" w:name="_Ref518291973"/>
      <w:r w:rsidRPr="000602BB">
        <w:rPr>
          <w:rFonts w:asciiTheme="majorHAnsi" w:hAnsiTheme="majorHAnsi"/>
          <w:vertAlign w:val="superscript"/>
        </w:rPr>
        <w:footnoteReference w:id="4"/>
      </w:r>
      <w:bookmarkEnd w:id="2"/>
      <w:r w:rsidRPr="000602BB">
        <w:rPr>
          <w:rFonts w:asciiTheme="majorHAnsi" w:hAnsiTheme="majorHAnsi"/>
        </w:rPr>
        <w:t xml:space="preserve">) or as set by </w:t>
      </w:r>
      <w:r w:rsidR="00784E3F">
        <w:rPr>
          <w:rFonts w:asciiTheme="majorHAnsi" w:hAnsiTheme="majorHAnsi"/>
        </w:rPr>
        <w:t>R</w:t>
      </w:r>
      <w:r w:rsidR="00784E3F" w:rsidRPr="000602BB">
        <w:rPr>
          <w:rFonts w:asciiTheme="majorHAnsi" w:hAnsiTheme="majorHAnsi"/>
        </w:rPr>
        <w:t>egional</w:t>
      </w:r>
      <w:r w:rsidR="00784E3F">
        <w:rPr>
          <w:rFonts w:asciiTheme="majorHAnsi" w:hAnsiTheme="majorHAnsi"/>
        </w:rPr>
        <w:t>/National Covenants</w:t>
      </w:r>
      <w:r w:rsidRPr="000602BB">
        <w:rPr>
          <w:rFonts w:asciiTheme="majorHAnsi" w:hAnsiTheme="majorHAnsi"/>
        </w:rPr>
        <w:t xml:space="preserve">. Cities that set a target year beyond 2030 </w:t>
      </w:r>
      <w:r w:rsidRPr="000602BB">
        <w:rPr>
          <w:rFonts w:asciiTheme="majorHAnsi" w:hAnsiTheme="majorHAnsi"/>
          <w:b/>
        </w:rPr>
        <w:t>shall</w:t>
      </w:r>
      <w:r w:rsidRPr="000602BB">
        <w:rPr>
          <w:rFonts w:asciiTheme="majorHAnsi" w:hAnsiTheme="majorHAnsi"/>
        </w:rPr>
        <w:t xml:space="preserve"> </w:t>
      </w:r>
      <w:r w:rsidR="00F35229">
        <w:rPr>
          <w:rFonts w:asciiTheme="majorHAnsi" w:hAnsiTheme="majorHAnsi"/>
        </w:rPr>
        <w:t xml:space="preserve">also </w:t>
      </w:r>
      <w:r w:rsidRPr="000602BB">
        <w:rPr>
          <w:rFonts w:asciiTheme="majorHAnsi" w:hAnsiTheme="majorHAnsi"/>
        </w:rPr>
        <w:t>include an interim target between now and 2030.</w:t>
      </w:r>
    </w:p>
    <w:p w14:paraId="73EE774B" w14:textId="01117C3D" w:rsidR="00750008" w:rsidRDefault="00750008">
      <w:pPr>
        <w:jc w:val="both"/>
        <w:rPr>
          <w:rFonts w:asciiTheme="majorHAnsi" w:hAnsiTheme="majorHAnsi"/>
        </w:rPr>
      </w:pPr>
      <w:r>
        <w:rPr>
          <w:rFonts w:asciiTheme="majorHAnsi" w:hAnsiTheme="majorHAnsi"/>
        </w:rPr>
        <w:t xml:space="preserve">If the NDC target is before 2030, cities </w:t>
      </w:r>
      <w:r w:rsidRPr="008B1401">
        <w:rPr>
          <w:rFonts w:asciiTheme="majorHAnsi" w:hAnsiTheme="majorHAnsi"/>
          <w:b/>
          <w:bCs/>
        </w:rPr>
        <w:t>should</w:t>
      </w:r>
      <w:r>
        <w:rPr>
          <w:rFonts w:asciiTheme="majorHAnsi" w:hAnsiTheme="majorHAnsi"/>
        </w:rPr>
        <w:t xml:space="preserve"> additionally set a target for 2030. </w:t>
      </w:r>
    </w:p>
    <w:p w14:paraId="2BA83CF5" w14:textId="6DD6B4F3" w:rsidR="00191AD6" w:rsidRPr="000602BB" w:rsidRDefault="00452215">
      <w:pPr>
        <w:jc w:val="both"/>
        <w:rPr>
          <w:rFonts w:asciiTheme="majorHAnsi" w:hAnsiTheme="majorHAnsi"/>
        </w:rPr>
      </w:pPr>
      <w:r w:rsidRPr="000602BB">
        <w:rPr>
          <w:rFonts w:asciiTheme="majorHAnsi" w:hAnsiTheme="majorHAnsi"/>
          <w:b/>
        </w:rPr>
        <w:t xml:space="preserve">(4) Base year </w:t>
      </w:r>
      <w:r w:rsidRPr="000602BB">
        <w:rPr>
          <w:rFonts w:asciiTheme="majorHAnsi" w:hAnsiTheme="majorHAnsi"/>
        </w:rPr>
        <w:t>(only for base year emissions target and base year intensity target)</w:t>
      </w:r>
    </w:p>
    <w:p w14:paraId="70374071" w14:textId="5D61AA08" w:rsidR="00191AD6" w:rsidRPr="000602BB" w:rsidRDefault="00452215">
      <w:pPr>
        <w:jc w:val="both"/>
        <w:rPr>
          <w:rFonts w:asciiTheme="majorHAnsi" w:hAnsiTheme="majorHAnsi"/>
        </w:rPr>
      </w:pPr>
      <w:r w:rsidRPr="000602BB">
        <w:rPr>
          <w:rFonts w:asciiTheme="majorHAnsi" w:hAnsiTheme="majorHAnsi"/>
        </w:rPr>
        <w:t xml:space="preserve">The base year </w:t>
      </w:r>
      <w:r w:rsidR="00F35229" w:rsidRPr="00E335D4">
        <w:rPr>
          <w:rFonts w:asciiTheme="majorHAnsi" w:hAnsiTheme="majorHAnsi"/>
        </w:rPr>
        <w:t>should</w:t>
      </w:r>
      <w:r w:rsidR="00F35229" w:rsidRPr="000602BB">
        <w:rPr>
          <w:rFonts w:asciiTheme="majorHAnsi" w:hAnsiTheme="majorHAnsi"/>
        </w:rPr>
        <w:t xml:space="preserve"> </w:t>
      </w:r>
      <w:r w:rsidRPr="000602BB">
        <w:rPr>
          <w:rFonts w:asciiTheme="majorHAnsi" w:hAnsiTheme="majorHAnsi"/>
        </w:rPr>
        <w:t xml:space="preserve">be the same as the base year used in the NDC or as set by </w:t>
      </w:r>
      <w:r w:rsidR="002A2EBD">
        <w:rPr>
          <w:rFonts w:asciiTheme="majorHAnsi" w:hAnsiTheme="majorHAnsi"/>
        </w:rPr>
        <w:t>R</w:t>
      </w:r>
      <w:r w:rsidR="002A2EBD" w:rsidRPr="000602BB">
        <w:rPr>
          <w:rFonts w:asciiTheme="majorHAnsi" w:hAnsiTheme="majorHAnsi"/>
        </w:rPr>
        <w:t>egional</w:t>
      </w:r>
      <w:r w:rsidR="002A2EBD">
        <w:rPr>
          <w:rFonts w:asciiTheme="majorHAnsi" w:hAnsiTheme="majorHAnsi"/>
        </w:rPr>
        <w:t>/National Covenants</w:t>
      </w:r>
      <w:r w:rsidRPr="000602BB">
        <w:rPr>
          <w:rFonts w:asciiTheme="majorHAnsi" w:hAnsiTheme="majorHAnsi"/>
        </w:rPr>
        <w:t xml:space="preserve">. Where the base year is different from the NDC (e.g. </w:t>
      </w:r>
      <w:r w:rsidR="00F35229">
        <w:rPr>
          <w:rFonts w:asciiTheme="majorHAnsi" w:hAnsiTheme="majorHAnsi"/>
        </w:rPr>
        <w:t xml:space="preserve">where a city has previously adopted another base year or </w:t>
      </w:r>
      <w:r w:rsidRPr="000602BB">
        <w:rPr>
          <w:rFonts w:asciiTheme="majorHAnsi" w:hAnsiTheme="majorHAnsi"/>
        </w:rPr>
        <w:t xml:space="preserve">due to a lack of data availability), this </w:t>
      </w:r>
      <w:r w:rsidRPr="000602BB">
        <w:rPr>
          <w:rFonts w:asciiTheme="majorHAnsi" w:hAnsiTheme="majorHAnsi"/>
          <w:b/>
        </w:rPr>
        <w:t>shall</w:t>
      </w:r>
      <w:r w:rsidRPr="000602BB">
        <w:rPr>
          <w:rFonts w:asciiTheme="majorHAnsi" w:hAnsiTheme="majorHAnsi"/>
        </w:rPr>
        <w:t xml:space="preserve"> be </w:t>
      </w:r>
      <w:r w:rsidR="00F35229">
        <w:rPr>
          <w:rFonts w:asciiTheme="majorHAnsi" w:hAnsiTheme="majorHAnsi"/>
        </w:rPr>
        <w:t>explained</w:t>
      </w:r>
      <w:r w:rsidRPr="000602BB">
        <w:rPr>
          <w:rFonts w:asciiTheme="majorHAnsi" w:hAnsiTheme="majorHAnsi"/>
        </w:rPr>
        <w:t>.</w:t>
      </w:r>
    </w:p>
    <w:p w14:paraId="12B02D28" w14:textId="77777777" w:rsidR="00191AD6" w:rsidRPr="000602BB" w:rsidRDefault="00452215">
      <w:pPr>
        <w:jc w:val="both"/>
        <w:rPr>
          <w:rFonts w:asciiTheme="majorHAnsi" w:hAnsiTheme="majorHAnsi"/>
          <w:b/>
        </w:rPr>
      </w:pPr>
      <w:r w:rsidRPr="000602BB">
        <w:rPr>
          <w:rFonts w:asciiTheme="majorHAnsi" w:hAnsiTheme="majorHAnsi"/>
          <w:b/>
        </w:rPr>
        <w:t>(5) Ambition</w:t>
      </w:r>
    </w:p>
    <w:p w14:paraId="087C2486" w14:textId="24B85345" w:rsidR="00F35229" w:rsidRDefault="00452215" w:rsidP="00F35229">
      <w:pPr>
        <w:jc w:val="both"/>
        <w:rPr>
          <w:rFonts w:asciiTheme="majorHAnsi" w:hAnsiTheme="majorHAnsi"/>
        </w:rPr>
      </w:pPr>
      <w:r w:rsidRPr="000602BB">
        <w:rPr>
          <w:rFonts w:asciiTheme="majorHAnsi" w:hAnsiTheme="majorHAnsi"/>
        </w:rPr>
        <w:t xml:space="preserve">At a minimum, the target </w:t>
      </w:r>
      <w:r w:rsidRPr="000602BB">
        <w:rPr>
          <w:rFonts w:asciiTheme="majorHAnsi" w:hAnsiTheme="majorHAnsi"/>
          <w:b/>
        </w:rPr>
        <w:t>shall</w:t>
      </w:r>
      <w:r w:rsidRPr="000602BB">
        <w:rPr>
          <w:rFonts w:asciiTheme="majorHAnsi" w:hAnsiTheme="majorHAnsi"/>
        </w:rPr>
        <w:t xml:space="preserve"> be as ambitious as the unconditional components</w:t>
      </w:r>
      <w:r w:rsidRPr="000602BB">
        <w:rPr>
          <w:rFonts w:asciiTheme="majorHAnsi" w:hAnsiTheme="majorHAnsi"/>
          <w:vertAlign w:val="superscript"/>
        </w:rPr>
        <w:footnoteReference w:id="5"/>
      </w:r>
      <w:r w:rsidRPr="000602BB">
        <w:rPr>
          <w:rFonts w:asciiTheme="majorHAnsi" w:hAnsiTheme="majorHAnsi"/>
        </w:rPr>
        <w:t xml:space="preserve"> </w:t>
      </w:r>
      <w:r w:rsidRPr="00197E9C">
        <w:rPr>
          <w:rFonts w:asciiTheme="majorHAnsi" w:hAnsiTheme="majorHAnsi"/>
        </w:rPr>
        <w:t>of the NDC</w:t>
      </w:r>
      <w:r w:rsidR="002F04B5">
        <w:rPr>
          <w:rFonts w:asciiTheme="majorHAnsi" w:hAnsiTheme="majorHAnsi"/>
        </w:rPr>
        <w:t xml:space="preserve"> (see also footnote </w:t>
      </w:r>
      <w:r w:rsidR="00BF0AE8">
        <w:rPr>
          <w:rFonts w:asciiTheme="majorHAnsi" w:hAnsiTheme="majorHAnsi"/>
        </w:rPr>
        <w:fldChar w:fldCharType="begin"/>
      </w:r>
      <w:r w:rsidR="00BF0AE8">
        <w:rPr>
          <w:rFonts w:asciiTheme="majorHAnsi" w:hAnsiTheme="majorHAnsi"/>
        </w:rPr>
        <w:instrText xml:space="preserve"> NOTEREF _Ref518291973 \h </w:instrText>
      </w:r>
      <w:r w:rsidR="00BF0AE8">
        <w:rPr>
          <w:rFonts w:asciiTheme="majorHAnsi" w:hAnsiTheme="majorHAnsi"/>
        </w:rPr>
      </w:r>
      <w:r w:rsidR="00BF0AE8">
        <w:rPr>
          <w:rFonts w:asciiTheme="majorHAnsi" w:hAnsiTheme="majorHAnsi"/>
        </w:rPr>
        <w:fldChar w:fldCharType="separate"/>
      </w:r>
      <w:r w:rsidR="00B70B2F">
        <w:rPr>
          <w:rFonts w:asciiTheme="majorHAnsi" w:hAnsiTheme="majorHAnsi"/>
        </w:rPr>
        <w:t>15</w:t>
      </w:r>
      <w:r w:rsidR="00BF0AE8">
        <w:rPr>
          <w:rFonts w:asciiTheme="majorHAnsi" w:hAnsiTheme="majorHAnsi"/>
        </w:rPr>
        <w:fldChar w:fldCharType="end"/>
      </w:r>
      <w:r w:rsidR="002F04B5">
        <w:rPr>
          <w:rFonts w:asciiTheme="majorHAnsi" w:hAnsiTheme="majorHAnsi"/>
        </w:rPr>
        <w:t>)</w:t>
      </w:r>
      <w:r w:rsidRPr="000602BB">
        <w:rPr>
          <w:rFonts w:asciiTheme="majorHAnsi" w:hAnsiTheme="majorHAnsi"/>
        </w:rPr>
        <w:t xml:space="preserve">. Local governments </w:t>
      </w:r>
      <w:r w:rsidRPr="000602BB">
        <w:rPr>
          <w:rFonts w:asciiTheme="majorHAnsi" w:hAnsiTheme="majorHAnsi"/>
          <w:b/>
        </w:rPr>
        <w:t>should</w:t>
      </w:r>
      <w:r w:rsidRPr="000602BB">
        <w:rPr>
          <w:rFonts w:asciiTheme="majorHAnsi" w:hAnsiTheme="majorHAnsi"/>
        </w:rPr>
        <w:t xml:space="preserve"> set targets that are more ambitious than the NDC.</w:t>
      </w:r>
      <w:r w:rsidR="00F35229">
        <w:rPr>
          <w:rFonts w:asciiTheme="majorHAnsi" w:hAnsiTheme="majorHAnsi"/>
        </w:rPr>
        <w:t xml:space="preserve"> When a national government increases their NDC, local governments </w:t>
      </w:r>
      <w:r w:rsidR="00F35229" w:rsidRPr="0091786A">
        <w:rPr>
          <w:rFonts w:asciiTheme="majorHAnsi" w:hAnsiTheme="majorHAnsi"/>
          <w:b/>
        </w:rPr>
        <w:t>shall</w:t>
      </w:r>
      <w:r w:rsidR="00F35229">
        <w:rPr>
          <w:rFonts w:asciiTheme="majorHAnsi" w:hAnsiTheme="majorHAnsi"/>
        </w:rPr>
        <w:t xml:space="preserve"> have a maximum of </w:t>
      </w:r>
      <w:r w:rsidR="00F35229" w:rsidRPr="00E335D4">
        <w:rPr>
          <w:rFonts w:asciiTheme="majorHAnsi" w:hAnsiTheme="majorHAnsi"/>
        </w:rPr>
        <w:t>five</w:t>
      </w:r>
      <w:r w:rsidR="00F35229">
        <w:rPr>
          <w:rFonts w:asciiTheme="majorHAnsi" w:hAnsiTheme="majorHAnsi"/>
        </w:rPr>
        <w:t xml:space="preserve"> years to ensure their target remains as ambitious </w:t>
      </w:r>
      <w:r w:rsidR="00F35229" w:rsidRPr="009A3DD4">
        <w:rPr>
          <w:rFonts w:asciiTheme="majorHAnsi" w:hAnsiTheme="majorHAnsi"/>
        </w:rPr>
        <w:t>as the unconditional components</w:t>
      </w:r>
      <w:r w:rsidR="00F35229">
        <w:rPr>
          <w:rFonts w:asciiTheme="majorHAnsi" w:hAnsiTheme="majorHAnsi"/>
        </w:rPr>
        <w:t xml:space="preserve"> of the NDC.</w:t>
      </w:r>
    </w:p>
    <w:p w14:paraId="710092D2" w14:textId="71EB01FD" w:rsidR="00107CA4" w:rsidRPr="00BF0AE8" w:rsidRDefault="00F35229">
      <w:pPr>
        <w:jc w:val="both"/>
        <w:rPr>
          <w:rFonts w:asciiTheme="majorHAnsi" w:hAnsiTheme="majorHAnsi"/>
        </w:rPr>
      </w:pPr>
      <w:r>
        <w:rPr>
          <w:rFonts w:asciiTheme="majorHAnsi" w:hAnsiTheme="majorHAnsi"/>
        </w:rPr>
        <w:t>Where target (and base</w:t>
      </w:r>
      <w:r w:rsidR="00041DB4">
        <w:rPr>
          <w:rFonts w:asciiTheme="majorHAnsi" w:hAnsiTheme="majorHAnsi"/>
        </w:rPr>
        <w:t>/scenario</w:t>
      </w:r>
      <w:r>
        <w:rPr>
          <w:rFonts w:asciiTheme="majorHAnsi" w:hAnsiTheme="majorHAnsi"/>
        </w:rPr>
        <w:t xml:space="preserve">) years are different between the local government and NDC, </w:t>
      </w:r>
      <w:r w:rsidR="009B0035">
        <w:rPr>
          <w:rFonts w:asciiTheme="majorHAnsi" w:hAnsiTheme="majorHAnsi"/>
        </w:rPr>
        <w:t xml:space="preserve">GCoM </w:t>
      </w:r>
      <w:r w:rsidR="00041DB4">
        <w:rPr>
          <w:rFonts w:asciiTheme="majorHAnsi" w:hAnsiTheme="majorHAnsi"/>
        </w:rPr>
        <w:t xml:space="preserve">will apply linear </w:t>
      </w:r>
      <w:r>
        <w:rPr>
          <w:rFonts w:asciiTheme="majorHAnsi" w:hAnsiTheme="majorHAnsi"/>
        </w:rPr>
        <w:t>interpolation to both targets to determine whether the above requirement is met.</w:t>
      </w:r>
    </w:p>
    <w:p w14:paraId="0BDAEED8" w14:textId="77777777" w:rsidR="00191AD6" w:rsidRPr="000602BB" w:rsidRDefault="00452215">
      <w:pPr>
        <w:jc w:val="both"/>
        <w:rPr>
          <w:rFonts w:asciiTheme="majorHAnsi" w:hAnsiTheme="majorHAnsi"/>
          <w:b/>
        </w:rPr>
      </w:pPr>
      <w:r w:rsidRPr="000602BB">
        <w:rPr>
          <w:rFonts w:asciiTheme="majorHAnsi" w:hAnsiTheme="majorHAnsi"/>
          <w:b/>
        </w:rPr>
        <w:t>(6) Units</w:t>
      </w:r>
    </w:p>
    <w:p w14:paraId="69099415" w14:textId="66E880BE" w:rsidR="00191AD6" w:rsidRDefault="00452215">
      <w:pPr>
        <w:jc w:val="both"/>
        <w:rPr>
          <w:rFonts w:asciiTheme="majorHAnsi" w:hAnsiTheme="majorHAnsi"/>
        </w:rPr>
      </w:pPr>
      <w:r w:rsidRPr="000602BB">
        <w:rPr>
          <w:rFonts w:asciiTheme="majorHAnsi" w:hAnsiTheme="majorHAnsi"/>
        </w:rPr>
        <w:t xml:space="preserve">Targets </w:t>
      </w:r>
      <w:r w:rsidRPr="000602BB">
        <w:rPr>
          <w:rFonts w:asciiTheme="majorHAnsi" w:hAnsiTheme="majorHAnsi"/>
          <w:b/>
        </w:rPr>
        <w:t>shall</w:t>
      </w:r>
      <w:r w:rsidRPr="000602BB">
        <w:rPr>
          <w:rFonts w:asciiTheme="majorHAnsi" w:hAnsiTheme="majorHAnsi"/>
        </w:rPr>
        <w:t xml:space="preserve"> be reported as a percentage (%) reduction from the base year or scenario year</w:t>
      </w:r>
      <w:r w:rsidR="00041DB4">
        <w:rPr>
          <w:rFonts w:asciiTheme="majorHAnsi" w:hAnsiTheme="majorHAnsi"/>
        </w:rPr>
        <w:t xml:space="preserve"> (for base year emissions, base year intensity and baseline scenario targets)</w:t>
      </w:r>
      <w:r w:rsidRPr="000602BB">
        <w:rPr>
          <w:rFonts w:asciiTheme="majorHAnsi" w:hAnsiTheme="majorHAnsi"/>
        </w:rPr>
        <w:t>. The absolute emissions in the target year(s) in metric tonnes CO</w:t>
      </w:r>
      <w:r w:rsidRPr="000602BB">
        <w:rPr>
          <w:rFonts w:asciiTheme="majorHAnsi" w:hAnsiTheme="majorHAnsi"/>
          <w:vertAlign w:val="subscript"/>
        </w:rPr>
        <w:t>2</w:t>
      </w:r>
      <w:r w:rsidRPr="000602BB">
        <w:rPr>
          <w:rFonts w:asciiTheme="majorHAnsi" w:hAnsiTheme="majorHAnsi"/>
        </w:rPr>
        <w:t xml:space="preserve">e </w:t>
      </w:r>
      <w:r w:rsidRPr="000602BB">
        <w:rPr>
          <w:rFonts w:asciiTheme="majorHAnsi" w:hAnsiTheme="majorHAnsi"/>
          <w:b/>
        </w:rPr>
        <w:t>shall</w:t>
      </w:r>
      <w:r w:rsidRPr="000602BB">
        <w:rPr>
          <w:rFonts w:asciiTheme="majorHAnsi" w:hAnsiTheme="majorHAnsi"/>
        </w:rPr>
        <w:t xml:space="preserve"> also be reported</w:t>
      </w:r>
      <w:r w:rsidR="00041DB4">
        <w:rPr>
          <w:rFonts w:asciiTheme="majorHAnsi" w:hAnsiTheme="majorHAnsi"/>
        </w:rPr>
        <w:t xml:space="preserve"> for all target types</w:t>
      </w:r>
      <w:r w:rsidRPr="000602BB">
        <w:rPr>
          <w:rFonts w:asciiTheme="majorHAnsi" w:hAnsiTheme="majorHAnsi"/>
        </w:rPr>
        <w:t>.</w:t>
      </w:r>
    </w:p>
    <w:p w14:paraId="16D7EC55" w14:textId="4E5F324A" w:rsidR="00750008" w:rsidRDefault="00750008">
      <w:pPr>
        <w:jc w:val="both"/>
        <w:rPr>
          <w:rFonts w:asciiTheme="majorHAnsi" w:hAnsiTheme="majorHAnsi"/>
        </w:rPr>
      </w:pPr>
      <w:r>
        <w:rPr>
          <w:rFonts w:asciiTheme="majorHAnsi" w:hAnsiTheme="majorHAnsi"/>
        </w:rPr>
        <w:t>If possible</w:t>
      </w:r>
      <w:r w:rsidR="008B1401">
        <w:rPr>
          <w:rFonts w:asciiTheme="majorHAnsi" w:hAnsiTheme="majorHAnsi"/>
        </w:rPr>
        <w:t>,</w:t>
      </w:r>
      <w:r>
        <w:rPr>
          <w:rFonts w:asciiTheme="majorHAnsi" w:hAnsiTheme="majorHAnsi"/>
        </w:rPr>
        <w:t xml:space="preserve"> the same approach should be </w:t>
      </w:r>
      <w:proofErr w:type="gramStart"/>
      <w:r>
        <w:rPr>
          <w:rFonts w:asciiTheme="majorHAnsi" w:hAnsiTheme="majorHAnsi"/>
        </w:rPr>
        <w:t>chosen</w:t>
      </w:r>
      <w:proofErr w:type="gramEnd"/>
      <w:r>
        <w:rPr>
          <w:rFonts w:asciiTheme="majorHAnsi" w:hAnsiTheme="majorHAnsi"/>
        </w:rPr>
        <w:t xml:space="preserve"> as is the case for the NDC target. </w:t>
      </w:r>
    </w:p>
    <w:p w14:paraId="2F82CBA3" w14:textId="37B5E183" w:rsidR="00191AD6" w:rsidRPr="000602BB" w:rsidRDefault="00452215">
      <w:pPr>
        <w:jc w:val="both"/>
        <w:rPr>
          <w:rFonts w:asciiTheme="majorHAnsi" w:hAnsiTheme="majorHAnsi"/>
          <w:b/>
        </w:rPr>
      </w:pPr>
      <w:r w:rsidRPr="000602BB">
        <w:rPr>
          <w:rFonts w:asciiTheme="majorHAnsi" w:hAnsiTheme="majorHAnsi"/>
          <w:b/>
        </w:rPr>
        <w:t>(7) Use of transferable emissions</w:t>
      </w:r>
    </w:p>
    <w:p w14:paraId="47CAF62B" w14:textId="0DEBA333" w:rsidR="00191AD6" w:rsidRDefault="00452215">
      <w:pPr>
        <w:jc w:val="both"/>
        <w:rPr>
          <w:rFonts w:asciiTheme="majorHAnsi" w:hAnsiTheme="majorHAnsi"/>
        </w:rPr>
      </w:pPr>
      <w:r w:rsidRPr="000602BB">
        <w:rPr>
          <w:rFonts w:asciiTheme="majorHAnsi" w:hAnsiTheme="majorHAnsi"/>
        </w:rPr>
        <w:t>The use of transferable emissions units</w:t>
      </w:r>
      <w:r w:rsidRPr="000602BB">
        <w:rPr>
          <w:rFonts w:asciiTheme="majorHAnsi" w:hAnsiTheme="majorHAnsi"/>
          <w:vertAlign w:val="superscript"/>
        </w:rPr>
        <w:footnoteReference w:id="6"/>
      </w:r>
      <w:r w:rsidRPr="000602BB">
        <w:rPr>
          <w:rFonts w:asciiTheme="majorHAnsi" w:hAnsiTheme="majorHAnsi"/>
        </w:rPr>
        <w:t xml:space="preserve"> is only permissible when a </w:t>
      </w:r>
      <w:r w:rsidR="00F35229">
        <w:rPr>
          <w:rFonts w:asciiTheme="majorHAnsi" w:hAnsiTheme="majorHAnsi"/>
        </w:rPr>
        <w:t>local government’s</w:t>
      </w:r>
      <w:r w:rsidR="00F35229" w:rsidRPr="000602BB">
        <w:rPr>
          <w:rFonts w:asciiTheme="majorHAnsi" w:hAnsiTheme="majorHAnsi"/>
        </w:rPr>
        <w:t xml:space="preserve"> </w:t>
      </w:r>
      <w:r w:rsidRPr="000602BB">
        <w:rPr>
          <w:rFonts w:asciiTheme="majorHAnsi" w:hAnsiTheme="majorHAnsi"/>
        </w:rPr>
        <w:t xml:space="preserve">target ambition exceeds the </w:t>
      </w:r>
      <w:r w:rsidR="00F35229" w:rsidRPr="009A3DD4">
        <w:rPr>
          <w:rFonts w:asciiTheme="majorHAnsi" w:hAnsiTheme="majorHAnsi"/>
        </w:rPr>
        <w:t>unconditional components</w:t>
      </w:r>
      <w:r w:rsidR="00F35229">
        <w:rPr>
          <w:rFonts w:asciiTheme="majorHAnsi" w:hAnsiTheme="majorHAnsi"/>
        </w:rPr>
        <w:t xml:space="preserve"> of the</w:t>
      </w:r>
      <w:r w:rsidR="00F35229" w:rsidRPr="009A3DD4">
        <w:rPr>
          <w:rFonts w:asciiTheme="majorHAnsi" w:hAnsiTheme="majorHAnsi"/>
        </w:rPr>
        <w:t xml:space="preserve"> </w:t>
      </w:r>
      <w:r w:rsidRPr="000602BB">
        <w:rPr>
          <w:rFonts w:asciiTheme="majorHAnsi" w:hAnsiTheme="majorHAnsi"/>
        </w:rPr>
        <w:t xml:space="preserve">NDC. Where this is the case, the local </w:t>
      </w:r>
      <w:r w:rsidR="00F35229">
        <w:rPr>
          <w:rFonts w:asciiTheme="majorHAnsi" w:hAnsiTheme="majorHAnsi"/>
        </w:rPr>
        <w:t>government</w:t>
      </w:r>
      <w:r w:rsidR="00F35229" w:rsidRPr="000602BB">
        <w:rPr>
          <w:rFonts w:asciiTheme="majorHAnsi" w:hAnsiTheme="majorHAnsi"/>
        </w:rPr>
        <w:t xml:space="preserve"> </w:t>
      </w:r>
      <w:r w:rsidRPr="000602BB">
        <w:rPr>
          <w:rFonts w:asciiTheme="majorHAnsi" w:hAnsiTheme="majorHAnsi"/>
          <w:b/>
        </w:rPr>
        <w:t>shall</w:t>
      </w:r>
      <w:r w:rsidRPr="000602BB">
        <w:rPr>
          <w:rFonts w:asciiTheme="majorHAnsi" w:hAnsiTheme="majorHAnsi"/>
        </w:rPr>
        <w:t xml:space="preserve"> report the target, with and without the transferable emissions units, as well as identify the source of the transferable emissions units.</w:t>
      </w:r>
      <w:r w:rsidR="00F35229">
        <w:rPr>
          <w:rFonts w:asciiTheme="majorHAnsi" w:hAnsiTheme="majorHAnsi"/>
        </w:rPr>
        <w:t xml:space="preserve"> Further guidance on the use of transferable emissions will be provided </w:t>
      </w:r>
      <w:r w:rsidR="00E820D7">
        <w:rPr>
          <w:rFonts w:asciiTheme="majorHAnsi" w:hAnsiTheme="majorHAnsi"/>
        </w:rPr>
        <w:t>in the implementation phase</w:t>
      </w:r>
      <w:r w:rsidR="00F35229">
        <w:rPr>
          <w:rFonts w:asciiTheme="majorHAnsi" w:hAnsiTheme="majorHAnsi"/>
        </w:rPr>
        <w:t>.</w:t>
      </w:r>
    </w:p>
    <w:p w14:paraId="3749ED58" w14:textId="77777777" w:rsidR="008B1401" w:rsidRDefault="008B1401">
      <w:pPr>
        <w:rPr>
          <w:rFonts w:asciiTheme="majorHAnsi" w:hAnsiTheme="majorHAnsi"/>
          <w:b/>
        </w:rPr>
      </w:pPr>
      <w:r>
        <w:rPr>
          <w:rFonts w:asciiTheme="majorHAnsi" w:hAnsiTheme="majorHAnsi"/>
          <w:b/>
        </w:rPr>
        <w:br w:type="page"/>
      </w:r>
    </w:p>
    <w:p w14:paraId="5052B42D" w14:textId="229B34EB" w:rsidR="00191AD6" w:rsidRPr="000602BB" w:rsidRDefault="00452215">
      <w:pPr>
        <w:jc w:val="both"/>
        <w:rPr>
          <w:rFonts w:asciiTheme="majorHAnsi" w:hAnsiTheme="majorHAnsi"/>
          <w:b/>
        </w:rPr>
      </w:pPr>
      <w:r w:rsidRPr="000602BB">
        <w:rPr>
          <w:rFonts w:asciiTheme="majorHAnsi" w:hAnsiTheme="majorHAnsi"/>
          <w:b/>
        </w:rPr>
        <w:lastRenderedPageBreak/>
        <w:t>(8) Conditionality</w:t>
      </w:r>
    </w:p>
    <w:p w14:paraId="0FD6F30C" w14:textId="1AD30A4E" w:rsidR="00191AD6" w:rsidRDefault="009B0035">
      <w:pPr>
        <w:jc w:val="both"/>
        <w:rPr>
          <w:rFonts w:asciiTheme="majorHAnsi" w:hAnsiTheme="majorHAnsi"/>
        </w:rPr>
      </w:pPr>
      <w:r w:rsidRPr="009A3DD4">
        <w:rPr>
          <w:rFonts w:asciiTheme="majorHAnsi" w:hAnsiTheme="majorHAnsi"/>
        </w:rPr>
        <w:t xml:space="preserve">The use of </w:t>
      </w:r>
      <w:r>
        <w:rPr>
          <w:rFonts w:asciiTheme="majorHAnsi" w:hAnsiTheme="majorHAnsi"/>
        </w:rPr>
        <w:t>conditional components</w:t>
      </w:r>
      <w:r w:rsidRPr="009A3DD4">
        <w:rPr>
          <w:rFonts w:asciiTheme="majorHAnsi" w:hAnsiTheme="majorHAnsi"/>
        </w:rPr>
        <w:t xml:space="preserve"> is only permissible when a </w:t>
      </w:r>
      <w:r>
        <w:rPr>
          <w:rFonts w:asciiTheme="majorHAnsi" w:hAnsiTheme="majorHAnsi"/>
        </w:rPr>
        <w:t>local government’s</w:t>
      </w:r>
      <w:r w:rsidRPr="009A3DD4">
        <w:rPr>
          <w:rFonts w:asciiTheme="majorHAnsi" w:hAnsiTheme="majorHAnsi"/>
        </w:rPr>
        <w:t xml:space="preserve"> target ambition exceeds the</w:t>
      </w:r>
      <w:r>
        <w:rPr>
          <w:rFonts w:asciiTheme="majorHAnsi" w:hAnsiTheme="majorHAnsi"/>
        </w:rPr>
        <w:t xml:space="preserve"> </w:t>
      </w:r>
      <w:r w:rsidRPr="009A3DD4">
        <w:rPr>
          <w:rFonts w:asciiTheme="majorHAnsi" w:hAnsiTheme="majorHAnsi"/>
        </w:rPr>
        <w:t>unconditional components</w:t>
      </w:r>
      <w:r>
        <w:rPr>
          <w:rFonts w:asciiTheme="majorHAnsi" w:hAnsiTheme="majorHAnsi"/>
        </w:rPr>
        <w:t xml:space="preserve"> of the</w:t>
      </w:r>
      <w:r w:rsidRPr="009A3DD4">
        <w:rPr>
          <w:rFonts w:asciiTheme="majorHAnsi" w:hAnsiTheme="majorHAnsi"/>
        </w:rPr>
        <w:t xml:space="preserve"> NDC.</w:t>
      </w:r>
      <w:r>
        <w:rPr>
          <w:rFonts w:asciiTheme="majorHAnsi" w:hAnsiTheme="majorHAnsi"/>
        </w:rPr>
        <w:t xml:space="preserve"> </w:t>
      </w:r>
      <w:r w:rsidR="00452215" w:rsidRPr="000602BB">
        <w:rPr>
          <w:rFonts w:asciiTheme="majorHAnsi" w:hAnsiTheme="majorHAnsi"/>
        </w:rPr>
        <w:t xml:space="preserve">Any conditional components included in the target </w:t>
      </w:r>
      <w:r w:rsidR="00452215" w:rsidRPr="000602BB">
        <w:rPr>
          <w:rFonts w:asciiTheme="majorHAnsi" w:hAnsiTheme="majorHAnsi"/>
          <w:b/>
        </w:rPr>
        <w:t>shall</w:t>
      </w:r>
      <w:r w:rsidR="00452215" w:rsidRPr="000602BB">
        <w:rPr>
          <w:rFonts w:asciiTheme="majorHAnsi" w:hAnsiTheme="majorHAnsi"/>
        </w:rPr>
        <w:t xml:space="preserve"> be identified</w:t>
      </w:r>
      <w:r>
        <w:rPr>
          <w:rFonts w:asciiTheme="majorHAnsi" w:hAnsiTheme="majorHAnsi"/>
        </w:rPr>
        <w:t xml:space="preserve"> and,</w:t>
      </w:r>
      <w:r w:rsidR="00452215" w:rsidRPr="000602BB">
        <w:rPr>
          <w:rFonts w:asciiTheme="majorHAnsi" w:hAnsiTheme="majorHAnsi"/>
        </w:rPr>
        <w:t xml:space="preserve"> where possible</w:t>
      </w:r>
      <w:r>
        <w:rPr>
          <w:rFonts w:asciiTheme="majorHAnsi" w:hAnsiTheme="majorHAnsi"/>
        </w:rPr>
        <w:t>, t</w:t>
      </w:r>
      <w:r w:rsidR="00452215" w:rsidRPr="000602BB">
        <w:rPr>
          <w:rFonts w:asciiTheme="majorHAnsi" w:hAnsiTheme="majorHAnsi"/>
        </w:rPr>
        <w:t xml:space="preserve">he conditional components </w:t>
      </w:r>
      <w:r w:rsidR="00452215" w:rsidRPr="000602BB">
        <w:rPr>
          <w:rFonts w:asciiTheme="majorHAnsi" w:hAnsiTheme="majorHAnsi"/>
          <w:b/>
        </w:rPr>
        <w:t>should</w:t>
      </w:r>
      <w:r w:rsidR="008B1401">
        <w:rPr>
          <w:rFonts w:asciiTheme="majorHAnsi" w:hAnsiTheme="majorHAnsi"/>
        </w:rPr>
        <w:t xml:space="preserve"> also</w:t>
      </w:r>
      <w:r w:rsidR="00452215" w:rsidRPr="000602BB">
        <w:rPr>
          <w:rFonts w:asciiTheme="majorHAnsi" w:hAnsiTheme="majorHAnsi"/>
        </w:rPr>
        <w:t xml:space="preserve"> be quantified. Conditional components include where cities set a stretch target, or where actions are identified for other key stakeholders beyond that which they have committed to themselves (for example, where a local government assumes a more ambitious reduction in the carbon-intensity of the national electricity grid than that committed to in the NDC or official government policy).</w:t>
      </w:r>
    </w:p>
    <w:p w14:paraId="52AA7B45" w14:textId="106417D1" w:rsidR="00191AD6" w:rsidRPr="000602BB" w:rsidRDefault="00191AD6" w:rsidP="00450ACB">
      <w:pPr>
        <w:rPr>
          <w:rFonts w:asciiTheme="majorHAnsi" w:hAnsiTheme="majorHAnsi"/>
        </w:rPr>
      </w:pPr>
      <w:bookmarkStart w:id="3" w:name="_2jxsxqh" w:colFirst="0" w:colLast="0"/>
      <w:bookmarkStart w:id="4" w:name="_GoBack"/>
      <w:bookmarkEnd w:id="3"/>
      <w:bookmarkEnd w:id="4"/>
    </w:p>
    <w:sectPr w:rsidR="00191AD6" w:rsidRPr="000602BB">
      <w:footerReference w:type="default" r:id="rId10"/>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06E05" w14:textId="77777777" w:rsidR="00B70B2F" w:rsidRDefault="00B70B2F">
      <w:pPr>
        <w:spacing w:after="0" w:line="240" w:lineRule="auto"/>
      </w:pPr>
      <w:r>
        <w:separator/>
      </w:r>
    </w:p>
  </w:endnote>
  <w:endnote w:type="continuationSeparator" w:id="0">
    <w:p w14:paraId="3DAA0B92" w14:textId="77777777" w:rsidR="00B70B2F" w:rsidRDefault="00B7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Arial"/>
    <w:charset w:val="00"/>
    <w:family w:val="swiss"/>
    <w:pitch w:val="variable"/>
    <w:sig w:usb0="E10022FF" w:usb1="C000E47F" w:usb2="00000029" w:usb3="00000000" w:csb0="000001DF" w:csb1="00000000"/>
  </w:font>
  <w:font w:name="SimSun">
    <w:altName w:val="宋体"/>
    <w:charset w:val="86"/>
    <w:family w:val="auto"/>
    <w:pitch w:val="variable"/>
    <w:sig w:usb0="00000003" w:usb1="288F0000" w:usb2="00000016" w:usb3="00000000" w:csb0="00040001" w:csb1="00000000"/>
  </w:font>
  <w:font w:name="Cordia New">
    <w:panose1 w:val="00000000000000000000"/>
    <w:charset w:val="DE"/>
    <w:family w:val="roman"/>
    <w:notTrueType/>
    <w:pitch w:val="variable"/>
    <w:sig w:usb0="01000001" w:usb1="00000000" w:usb2="00000000" w:usb3="00000000" w:csb0="00010000" w:csb1="00000000"/>
  </w:font>
  <w:font w:name="宋体">
    <w:charset w:val="50"/>
    <w:family w:val="auto"/>
    <w:pitch w:val="variable"/>
    <w:sig w:usb0="00000003" w:usb1="288F0000" w:usb2="00000016" w:usb3="00000000" w:csb0="00040001" w:csb1="00000000"/>
  </w:font>
  <w:font w:name="Angsan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883602"/>
      <w:docPartObj>
        <w:docPartGallery w:val="Page Numbers (Bottom of Page)"/>
        <w:docPartUnique/>
      </w:docPartObj>
    </w:sdtPr>
    <w:sdtEndPr>
      <w:rPr>
        <w:noProof/>
      </w:rPr>
    </w:sdtEndPr>
    <w:sdtContent>
      <w:p w14:paraId="21E5CDC5" w14:textId="52425AF1" w:rsidR="00B70B2F" w:rsidRDefault="00B70B2F">
        <w:pPr>
          <w:pStyle w:val="Footer"/>
          <w:jc w:val="right"/>
        </w:pPr>
        <w:r>
          <w:fldChar w:fldCharType="begin"/>
        </w:r>
        <w:r>
          <w:instrText xml:space="preserve"> PAGE   \* MERGEFORMAT </w:instrText>
        </w:r>
        <w:r>
          <w:fldChar w:fldCharType="separate"/>
        </w:r>
        <w:r w:rsidR="00450ACB">
          <w:rPr>
            <w:noProof/>
          </w:rPr>
          <w:t>4</w:t>
        </w:r>
        <w:r>
          <w:rPr>
            <w:noProof/>
          </w:rPr>
          <w:fldChar w:fldCharType="end"/>
        </w:r>
      </w:p>
    </w:sdtContent>
  </w:sdt>
  <w:p w14:paraId="72374F0E" w14:textId="77777777" w:rsidR="00B70B2F" w:rsidRDefault="00B70B2F">
    <w:pPr>
      <w:pBdr>
        <w:top w:val="nil"/>
        <w:left w:val="nil"/>
        <w:bottom w:val="nil"/>
        <w:right w:val="nil"/>
        <w:between w:val="nil"/>
      </w:pBdr>
      <w:tabs>
        <w:tab w:val="center" w:pos="4320"/>
        <w:tab w:val="right" w:pos="8640"/>
      </w:tabs>
      <w:spacing w:after="0" w:line="240" w:lineRule="auto"/>
      <w:rPr>
        <w:rFonts w:ascii="Arial" w:eastAsia="Arial" w:hAnsi="Arial" w:cs="Arial"/>
        <w:color w:val="000000"/>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57D2" w14:textId="77777777" w:rsidR="00B70B2F" w:rsidRDefault="00B70B2F">
      <w:pPr>
        <w:spacing w:after="0" w:line="240" w:lineRule="auto"/>
      </w:pPr>
      <w:r>
        <w:separator/>
      </w:r>
    </w:p>
  </w:footnote>
  <w:footnote w:type="continuationSeparator" w:id="0">
    <w:p w14:paraId="4D1DA8B4" w14:textId="77777777" w:rsidR="00B70B2F" w:rsidRDefault="00B70B2F">
      <w:pPr>
        <w:spacing w:after="0" w:line="240" w:lineRule="auto"/>
      </w:pPr>
      <w:r>
        <w:continuationSeparator/>
      </w:r>
    </w:p>
  </w:footnote>
  <w:footnote w:id="1">
    <w:p w14:paraId="170DC98D" w14:textId="178B27FA" w:rsidR="00B70B2F" w:rsidRDefault="00B70B2F">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Please note that the local government’s administrative boundary may go beyond to the city’s geographic boundary. According to the GCoM all the emission within the “city boundary”, even beyond the geographic boundary, shall be reported to the GCoM.</w:t>
      </w:r>
    </w:p>
  </w:footnote>
  <w:footnote w:id="2">
    <w:p w14:paraId="06F9E8B0" w14:textId="77777777" w:rsidR="00B70B2F" w:rsidRDefault="00B70B2F">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For example, some European cities’ targets do not include emissions sources that are already included in the EU Emissions Trading Scheme. </w:t>
      </w:r>
    </w:p>
  </w:footnote>
  <w:footnote w:id="3">
    <w:p w14:paraId="3C605FD6" w14:textId="77777777" w:rsidR="00B70B2F" w:rsidRDefault="00B70B2F">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Please refer to the </w:t>
      </w:r>
      <w:hyperlink r:id="rId1">
        <w:r>
          <w:rPr>
            <w:i/>
            <w:color w:val="0000FF"/>
            <w:sz w:val="18"/>
            <w:szCs w:val="18"/>
            <w:u w:val="single"/>
          </w:rPr>
          <w:t>Greenhouse Gas Protocol Mitigation Goal Standard</w:t>
        </w:r>
      </w:hyperlink>
      <w:r>
        <w:rPr>
          <w:color w:val="000000"/>
          <w:sz w:val="18"/>
          <w:szCs w:val="18"/>
        </w:rPr>
        <w:t xml:space="preserve"> for more details on these target types.</w:t>
      </w:r>
    </w:p>
  </w:footnote>
  <w:footnote w:id="4">
    <w:p w14:paraId="58495B8C" w14:textId="78D18FFD" w:rsidR="00B70B2F" w:rsidRPr="002F04B5" w:rsidRDefault="00B70B2F">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See e.g. </w:t>
      </w:r>
      <w:hyperlink r:id="rId2">
        <w:r>
          <w:rPr>
            <w:color w:val="0000FF"/>
            <w:sz w:val="18"/>
            <w:szCs w:val="18"/>
            <w:u w:val="single"/>
          </w:rPr>
          <w:t>UNFCCC NDC List</w:t>
        </w:r>
      </w:hyperlink>
      <w:r>
        <w:rPr>
          <w:color w:val="000000"/>
          <w:sz w:val="18"/>
          <w:szCs w:val="18"/>
        </w:rPr>
        <w:t xml:space="preserve">, </w:t>
      </w:r>
      <w:hyperlink r:id="rId3" w:history="1">
        <w:r w:rsidRPr="002F04B5">
          <w:rPr>
            <w:rStyle w:val="Hyperlink"/>
            <w:sz w:val="18"/>
            <w:szCs w:val="18"/>
          </w:rPr>
          <w:t>Climate Tracker</w:t>
        </w:r>
      </w:hyperlink>
      <w:r>
        <w:rPr>
          <w:color w:val="000000"/>
          <w:sz w:val="18"/>
          <w:szCs w:val="18"/>
        </w:rPr>
        <w:t xml:space="preserve">, </w:t>
      </w:r>
      <w:hyperlink r:id="rId4" w:history="1">
        <w:r w:rsidRPr="002F04B5">
          <w:rPr>
            <w:rStyle w:val="Hyperlink"/>
            <w:sz w:val="18"/>
            <w:szCs w:val="18"/>
          </w:rPr>
          <w:t>CLIMATEWATCH</w:t>
        </w:r>
      </w:hyperlink>
    </w:p>
  </w:footnote>
  <w:footnote w:id="5">
    <w:p w14:paraId="1149FCA7" w14:textId="77777777" w:rsidR="00B70B2F" w:rsidRDefault="00B70B2F">
      <w:pPr>
        <w:pBdr>
          <w:top w:val="nil"/>
          <w:left w:val="nil"/>
          <w:bottom w:val="nil"/>
          <w:right w:val="nil"/>
          <w:between w:val="nil"/>
        </w:pBdr>
        <w:spacing w:after="0"/>
        <w:jc w:val="both"/>
        <w:rPr>
          <w:color w:val="000000"/>
          <w:sz w:val="16"/>
          <w:szCs w:val="16"/>
        </w:rPr>
      </w:pPr>
      <w:r>
        <w:rPr>
          <w:vertAlign w:val="superscript"/>
        </w:rPr>
        <w:footnoteRef/>
      </w:r>
      <w:r>
        <w:rPr>
          <w:color w:val="000000"/>
          <w:sz w:val="16"/>
          <w:szCs w:val="16"/>
        </w:rPr>
        <w:t xml:space="preserve"> </w:t>
      </w:r>
      <w:r w:rsidRPr="00126130">
        <w:rPr>
          <w:color w:val="000000"/>
          <w:sz w:val="18"/>
          <w:szCs w:val="18"/>
        </w:rPr>
        <w:t xml:space="preserve">Many countries have submitted two sets of NDC targets: unconditional targets, to be implemented without any explicit external support; and conditional targets. The latter are more ambitious than unconditional targets and require external support for their fulfilment. This includes financial support, and policies or action in other </w:t>
      </w:r>
      <w:proofErr w:type="gramStart"/>
      <w:r w:rsidRPr="00126130">
        <w:rPr>
          <w:color w:val="000000"/>
          <w:sz w:val="18"/>
          <w:szCs w:val="18"/>
        </w:rPr>
        <w:t>countries which</w:t>
      </w:r>
      <w:proofErr w:type="gramEnd"/>
      <w:r w:rsidRPr="00126130">
        <w:rPr>
          <w:color w:val="000000"/>
          <w:sz w:val="18"/>
          <w:szCs w:val="18"/>
        </w:rPr>
        <w:t xml:space="preserve"> support or facilitate a given country’s mitigation policy (e.g. adoption of carbon taxes in a particular country may be conditional on the widespread use of carbon taxes in other countries, to ensure that domestic industry is not unduly impacted).</w:t>
      </w:r>
    </w:p>
  </w:footnote>
  <w:footnote w:id="6">
    <w:p w14:paraId="5E6E50A2" w14:textId="77777777" w:rsidR="00B70B2F" w:rsidRDefault="00B70B2F">
      <w:pPr>
        <w:jc w:val="both"/>
        <w:rPr>
          <w:sz w:val="20"/>
          <w:szCs w:val="20"/>
        </w:rPr>
      </w:pPr>
      <w:r>
        <w:rPr>
          <w:vertAlign w:val="superscript"/>
        </w:rPr>
        <w:footnoteRef/>
      </w:r>
      <w:r>
        <w:rPr>
          <w:sz w:val="16"/>
          <w:szCs w:val="16"/>
        </w:rPr>
        <w:t xml:space="preserve"> </w:t>
      </w:r>
      <w:r w:rsidRPr="00126130">
        <w:rPr>
          <w:sz w:val="18"/>
          <w:szCs w:val="18"/>
        </w:rPr>
        <w:t>These are emissions allowances and offset credits from market mechanisms outside the target boundary that are used toward meeting a target. Please refer to the Greenhouse Gas Protocol Mitigation Goal Standard for more details.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A2"/>
    <w:multiLevelType w:val="hybridMultilevel"/>
    <w:tmpl w:val="9AD8E1D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8B2735"/>
    <w:multiLevelType w:val="hybridMultilevel"/>
    <w:tmpl w:val="BF88798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1A2536"/>
    <w:multiLevelType w:val="multilevel"/>
    <w:tmpl w:val="722095C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7200ED4"/>
    <w:multiLevelType w:val="hybridMultilevel"/>
    <w:tmpl w:val="A67EC96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CF2F17"/>
    <w:multiLevelType w:val="hybridMultilevel"/>
    <w:tmpl w:val="992E2A4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86E080B"/>
    <w:multiLevelType w:val="hybridMultilevel"/>
    <w:tmpl w:val="192283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A656723"/>
    <w:multiLevelType w:val="multilevel"/>
    <w:tmpl w:val="002618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E127B02"/>
    <w:multiLevelType w:val="multilevel"/>
    <w:tmpl w:val="C3F4F5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E14BED"/>
    <w:multiLevelType w:val="hybridMultilevel"/>
    <w:tmpl w:val="21DEC6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16024D"/>
    <w:multiLevelType w:val="multilevel"/>
    <w:tmpl w:val="D0EC651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F8C03AB"/>
    <w:multiLevelType w:val="hybridMultilevel"/>
    <w:tmpl w:val="ACDAB79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4824FEF"/>
    <w:multiLevelType w:val="multilevel"/>
    <w:tmpl w:val="6E146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25B66FF3"/>
    <w:multiLevelType w:val="multilevel"/>
    <w:tmpl w:val="2AF2D8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72273B9"/>
    <w:multiLevelType w:val="multilevel"/>
    <w:tmpl w:val="B0E6E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7745A5E"/>
    <w:multiLevelType w:val="multilevel"/>
    <w:tmpl w:val="24C895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DF832A6"/>
    <w:multiLevelType w:val="multilevel"/>
    <w:tmpl w:val="B40E25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2FF21878"/>
    <w:multiLevelType w:val="multilevel"/>
    <w:tmpl w:val="CCDEE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312053A"/>
    <w:multiLevelType w:val="multilevel"/>
    <w:tmpl w:val="444472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EC4A38"/>
    <w:multiLevelType w:val="multilevel"/>
    <w:tmpl w:val="0E7850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688319F"/>
    <w:multiLevelType w:val="multilevel"/>
    <w:tmpl w:val="BEE868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37740D40"/>
    <w:multiLevelType w:val="multilevel"/>
    <w:tmpl w:val="EE54D18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E8D7880"/>
    <w:multiLevelType w:val="hybridMultilevel"/>
    <w:tmpl w:val="0FFC8F1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C2709E"/>
    <w:multiLevelType w:val="hybridMultilevel"/>
    <w:tmpl w:val="74627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D3536AC"/>
    <w:multiLevelType w:val="multilevel"/>
    <w:tmpl w:val="4678BC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4E85083F"/>
    <w:multiLevelType w:val="multilevel"/>
    <w:tmpl w:val="F8DEE4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4E920924"/>
    <w:multiLevelType w:val="hybridMultilevel"/>
    <w:tmpl w:val="A134AF7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B86AB8"/>
    <w:multiLevelType w:val="multilevel"/>
    <w:tmpl w:val="AB80C5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5EB61C8"/>
    <w:multiLevelType w:val="hybridMultilevel"/>
    <w:tmpl w:val="F8CC691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C4464CC"/>
    <w:multiLevelType w:val="hybridMultilevel"/>
    <w:tmpl w:val="4B0206E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6B0E41"/>
    <w:multiLevelType w:val="multilevel"/>
    <w:tmpl w:val="FC9818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20D59BE"/>
    <w:multiLevelType w:val="multilevel"/>
    <w:tmpl w:val="3528A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3113E6C"/>
    <w:multiLevelType w:val="hybridMultilevel"/>
    <w:tmpl w:val="1144DAB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36B410C"/>
    <w:multiLevelType w:val="multilevel"/>
    <w:tmpl w:val="78CA60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411193E"/>
    <w:multiLevelType w:val="multilevel"/>
    <w:tmpl w:val="4914EE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656513CE"/>
    <w:multiLevelType w:val="multilevel"/>
    <w:tmpl w:val="CEF632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3101B6"/>
    <w:multiLevelType w:val="multilevel"/>
    <w:tmpl w:val="81F4EE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8C21B9E"/>
    <w:multiLevelType w:val="multilevel"/>
    <w:tmpl w:val="7304F8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nsid w:val="690A67F4"/>
    <w:multiLevelType w:val="hybridMultilevel"/>
    <w:tmpl w:val="9CDE6F2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92A34E5"/>
    <w:multiLevelType w:val="multilevel"/>
    <w:tmpl w:val="E8F45E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nsid w:val="693E45FF"/>
    <w:multiLevelType w:val="multilevel"/>
    <w:tmpl w:val="33D24B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nsid w:val="6A2304B9"/>
    <w:multiLevelType w:val="hybridMultilevel"/>
    <w:tmpl w:val="966AE6B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EAD2ADC"/>
    <w:multiLevelType w:val="multilevel"/>
    <w:tmpl w:val="D8026D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749B2762"/>
    <w:multiLevelType w:val="multilevel"/>
    <w:tmpl w:val="1600589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5CC69A2"/>
    <w:multiLevelType w:val="hybridMultilevel"/>
    <w:tmpl w:val="92C059C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2F2807"/>
    <w:multiLevelType w:val="multilevel"/>
    <w:tmpl w:val="911204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8E12674"/>
    <w:multiLevelType w:val="multilevel"/>
    <w:tmpl w:val="F83803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793E0D5E"/>
    <w:multiLevelType w:val="multilevel"/>
    <w:tmpl w:val="1FC41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7D464A2F"/>
    <w:multiLevelType w:val="multilevel"/>
    <w:tmpl w:val="54DA92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FD60AA1"/>
    <w:multiLevelType w:val="multilevel"/>
    <w:tmpl w:val="0AD879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5"/>
  </w:num>
  <w:num w:numId="2">
    <w:abstractNumId w:val="19"/>
  </w:num>
  <w:num w:numId="3">
    <w:abstractNumId w:val="48"/>
  </w:num>
  <w:num w:numId="4">
    <w:abstractNumId w:val="34"/>
  </w:num>
  <w:num w:numId="5">
    <w:abstractNumId w:val="36"/>
  </w:num>
  <w:num w:numId="6">
    <w:abstractNumId w:val="47"/>
  </w:num>
  <w:num w:numId="7">
    <w:abstractNumId w:val="32"/>
  </w:num>
  <w:num w:numId="8">
    <w:abstractNumId w:val="41"/>
  </w:num>
  <w:num w:numId="9">
    <w:abstractNumId w:val="2"/>
  </w:num>
  <w:num w:numId="10">
    <w:abstractNumId w:val="9"/>
  </w:num>
  <w:num w:numId="11">
    <w:abstractNumId w:val="30"/>
  </w:num>
  <w:num w:numId="12">
    <w:abstractNumId w:val="26"/>
  </w:num>
  <w:num w:numId="13">
    <w:abstractNumId w:val="7"/>
  </w:num>
  <w:num w:numId="14">
    <w:abstractNumId w:val="44"/>
  </w:num>
  <w:num w:numId="15">
    <w:abstractNumId w:val="18"/>
  </w:num>
  <w:num w:numId="16">
    <w:abstractNumId w:val="14"/>
  </w:num>
  <w:num w:numId="17">
    <w:abstractNumId w:val="13"/>
  </w:num>
  <w:num w:numId="18">
    <w:abstractNumId w:val="23"/>
  </w:num>
  <w:num w:numId="19">
    <w:abstractNumId w:val="46"/>
  </w:num>
  <w:num w:numId="20">
    <w:abstractNumId w:val="29"/>
  </w:num>
  <w:num w:numId="21">
    <w:abstractNumId w:val="17"/>
  </w:num>
  <w:num w:numId="22">
    <w:abstractNumId w:val="20"/>
  </w:num>
  <w:num w:numId="23">
    <w:abstractNumId w:val="35"/>
  </w:num>
  <w:num w:numId="24">
    <w:abstractNumId w:val="42"/>
  </w:num>
  <w:num w:numId="25">
    <w:abstractNumId w:val="16"/>
  </w:num>
  <w:num w:numId="26">
    <w:abstractNumId w:val="38"/>
  </w:num>
  <w:num w:numId="27">
    <w:abstractNumId w:val="11"/>
  </w:num>
  <w:num w:numId="28">
    <w:abstractNumId w:val="24"/>
  </w:num>
  <w:num w:numId="29">
    <w:abstractNumId w:val="12"/>
  </w:num>
  <w:num w:numId="30">
    <w:abstractNumId w:val="33"/>
  </w:num>
  <w:num w:numId="31">
    <w:abstractNumId w:val="39"/>
  </w:num>
  <w:num w:numId="32">
    <w:abstractNumId w:val="45"/>
  </w:num>
  <w:num w:numId="33">
    <w:abstractNumId w:val="5"/>
  </w:num>
  <w:num w:numId="34">
    <w:abstractNumId w:val="4"/>
  </w:num>
  <w:num w:numId="35">
    <w:abstractNumId w:val="37"/>
  </w:num>
  <w:num w:numId="36">
    <w:abstractNumId w:val="31"/>
  </w:num>
  <w:num w:numId="37">
    <w:abstractNumId w:val="43"/>
  </w:num>
  <w:num w:numId="38">
    <w:abstractNumId w:val="40"/>
  </w:num>
  <w:num w:numId="39">
    <w:abstractNumId w:val="10"/>
  </w:num>
  <w:num w:numId="40">
    <w:abstractNumId w:val="3"/>
  </w:num>
  <w:num w:numId="41">
    <w:abstractNumId w:val="1"/>
  </w:num>
  <w:num w:numId="42">
    <w:abstractNumId w:val="25"/>
  </w:num>
  <w:num w:numId="43">
    <w:abstractNumId w:val="27"/>
  </w:num>
  <w:num w:numId="44">
    <w:abstractNumId w:val="22"/>
  </w:num>
  <w:num w:numId="45">
    <w:abstractNumId w:val="28"/>
  </w:num>
  <w:num w:numId="46">
    <w:abstractNumId w:val="21"/>
  </w:num>
  <w:num w:numId="47">
    <w:abstractNumId w:val="0"/>
  </w:num>
  <w:num w:numId="48">
    <w:abstractNumId w:val="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91AD6"/>
    <w:rsid w:val="000060C8"/>
    <w:rsid w:val="00010C93"/>
    <w:rsid w:val="0001471A"/>
    <w:rsid w:val="00015EA4"/>
    <w:rsid w:val="00022C6F"/>
    <w:rsid w:val="00024FD0"/>
    <w:rsid w:val="0003077E"/>
    <w:rsid w:val="00036FBE"/>
    <w:rsid w:val="00041DB4"/>
    <w:rsid w:val="000602BB"/>
    <w:rsid w:val="00080BA9"/>
    <w:rsid w:val="00087D10"/>
    <w:rsid w:val="00090C00"/>
    <w:rsid w:val="000A2E51"/>
    <w:rsid w:val="000B09AE"/>
    <w:rsid w:val="000C1A73"/>
    <w:rsid w:val="000C3717"/>
    <w:rsid w:val="000C686E"/>
    <w:rsid w:val="000D0EEC"/>
    <w:rsid w:val="000E247A"/>
    <w:rsid w:val="0010084C"/>
    <w:rsid w:val="00107CA4"/>
    <w:rsid w:val="00114DE3"/>
    <w:rsid w:val="00126130"/>
    <w:rsid w:val="00144155"/>
    <w:rsid w:val="00164F50"/>
    <w:rsid w:val="00186C63"/>
    <w:rsid w:val="00191AD6"/>
    <w:rsid w:val="00197E9C"/>
    <w:rsid w:val="001B61BF"/>
    <w:rsid w:val="001D3DE8"/>
    <w:rsid w:val="001D5D81"/>
    <w:rsid w:val="001E1D5F"/>
    <w:rsid w:val="001E7982"/>
    <w:rsid w:val="00204280"/>
    <w:rsid w:val="002047C2"/>
    <w:rsid w:val="00215914"/>
    <w:rsid w:val="00267FD1"/>
    <w:rsid w:val="00291890"/>
    <w:rsid w:val="00293FD4"/>
    <w:rsid w:val="00296A7D"/>
    <w:rsid w:val="00297953"/>
    <w:rsid w:val="002A2EBD"/>
    <w:rsid w:val="002A7146"/>
    <w:rsid w:val="002C1B89"/>
    <w:rsid w:val="002D10E7"/>
    <w:rsid w:val="002D4591"/>
    <w:rsid w:val="002D50E9"/>
    <w:rsid w:val="002E056D"/>
    <w:rsid w:val="002F04B5"/>
    <w:rsid w:val="00337688"/>
    <w:rsid w:val="00345EFD"/>
    <w:rsid w:val="0035285E"/>
    <w:rsid w:val="003641A1"/>
    <w:rsid w:val="00372D26"/>
    <w:rsid w:val="0037562B"/>
    <w:rsid w:val="003A7BEC"/>
    <w:rsid w:val="00426672"/>
    <w:rsid w:val="00450ACB"/>
    <w:rsid w:val="00452215"/>
    <w:rsid w:val="0045227C"/>
    <w:rsid w:val="00476762"/>
    <w:rsid w:val="00487CDE"/>
    <w:rsid w:val="004A44F5"/>
    <w:rsid w:val="004A7E3A"/>
    <w:rsid w:val="004B5FB8"/>
    <w:rsid w:val="004E2BEE"/>
    <w:rsid w:val="00510220"/>
    <w:rsid w:val="00536C63"/>
    <w:rsid w:val="005603C5"/>
    <w:rsid w:val="005B4BBD"/>
    <w:rsid w:val="005F2322"/>
    <w:rsid w:val="0062040F"/>
    <w:rsid w:val="00627C86"/>
    <w:rsid w:val="00680415"/>
    <w:rsid w:val="006B60C5"/>
    <w:rsid w:val="006F1E0D"/>
    <w:rsid w:val="007371AA"/>
    <w:rsid w:val="00750008"/>
    <w:rsid w:val="00760844"/>
    <w:rsid w:val="00772F1A"/>
    <w:rsid w:val="00784E3F"/>
    <w:rsid w:val="0079705C"/>
    <w:rsid w:val="007C57D6"/>
    <w:rsid w:val="00802596"/>
    <w:rsid w:val="00816DD6"/>
    <w:rsid w:val="008232D0"/>
    <w:rsid w:val="00827E5D"/>
    <w:rsid w:val="00840399"/>
    <w:rsid w:val="008450BC"/>
    <w:rsid w:val="008770B7"/>
    <w:rsid w:val="008966C0"/>
    <w:rsid w:val="008A1EB4"/>
    <w:rsid w:val="008A3A80"/>
    <w:rsid w:val="008B1401"/>
    <w:rsid w:val="008C4C96"/>
    <w:rsid w:val="008D01F9"/>
    <w:rsid w:val="008F72F8"/>
    <w:rsid w:val="0093513D"/>
    <w:rsid w:val="0093686D"/>
    <w:rsid w:val="00943642"/>
    <w:rsid w:val="00976546"/>
    <w:rsid w:val="00976B74"/>
    <w:rsid w:val="00983764"/>
    <w:rsid w:val="009B0035"/>
    <w:rsid w:val="009E2589"/>
    <w:rsid w:val="009E4245"/>
    <w:rsid w:val="00A01E42"/>
    <w:rsid w:val="00A026FA"/>
    <w:rsid w:val="00A33DF0"/>
    <w:rsid w:val="00A373EE"/>
    <w:rsid w:val="00A57338"/>
    <w:rsid w:val="00A674B2"/>
    <w:rsid w:val="00A81261"/>
    <w:rsid w:val="00AB53D5"/>
    <w:rsid w:val="00AC231E"/>
    <w:rsid w:val="00AF463C"/>
    <w:rsid w:val="00B00597"/>
    <w:rsid w:val="00B019FF"/>
    <w:rsid w:val="00B05DF5"/>
    <w:rsid w:val="00B12A44"/>
    <w:rsid w:val="00B14511"/>
    <w:rsid w:val="00B671DB"/>
    <w:rsid w:val="00B705CF"/>
    <w:rsid w:val="00B70B2F"/>
    <w:rsid w:val="00B72FF1"/>
    <w:rsid w:val="00BB3DE7"/>
    <w:rsid w:val="00BB63ED"/>
    <w:rsid w:val="00BB6454"/>
    <w:rsid w:val="00BC340F"/>
    <w:rsid w:val="00BD0AD4"/>
    <w:rsid w:val="00BE2608"/>
    <w:rsid w:val="00BF0AE8"/>
    <w:rsid w:val="00C04E65"/>
    <w:rsid w:val="00C12A67"/>
    <w:rsid w:val="00C54CFE"/>
    <w:rsid w:val="00C67F0A"/>
    <w:rsid w:val="00C90F27"/>
    <w:rsid w:val="00CB66BA"/>
    <w:rsid w:val="00CC48FA"/>
    <w:rsid w:val="00CD6FBA"/>
    <w:rsid w:val="00CF6966"/>
    <w:rsid w:val="00D30894"/>
    <w:rsid w:val="00D35421"/>
    <w:rsid w:val="00D35B90"/>
    <w:rsid w:val="00D42FFC"/>
    <w:rsid w:val="00D566F5"/>
    <w:rsid w:val="00D75E8A"/>
    <w:rsid w:val="00DB647D"/>
    <w:rsid w:val="00DB7513"/>
    <w:rsid w:val="00DE1CFC"/>
    <w:rsid w:val="00DE74F0"/>
    <w:rsid w:val="00DF727A"/>
    <w:rsid w:val="00E0409D"/>
    <w:rsid w:val="00E073D7"/>
    <w:rsid w:val="00E26AE4"/>
    <w:rsid w:val="00E335D4"/>
    <w:rsid w:val="00E349BB"/>
    <w:rsid w:val="00E45A1D"/>
    <w:rsid w:val="00E820D7"/>
    <w:rsid w:val="00EA0A20"/>
    <w:rsid w:val="00EA2C5D"/>
    <w:rsid w:val="00EB032C"/>
    <w:rsid w:val="00EB2328"/>
    <w:rsid w:val="00EC05CB"/>
    <w:rsid w:val="00EC63C6"/>
    <w:rsid w:val="00ED17DB"/>
    <w:rsid w:val="00ED66F2"/>
    <w:rsid w:val="00EF5FC6"/>
    <w:rsid w:val="00F0336F"/>
    <w:rsid w:val="00F119BD"/>
    <w:rsid w:val="00F35229"/>
    <w:rsid w:val="00F42D17"/>
    <w:rsid w:val="00F506FA"/>
    <w:rsid w:val="00F5417B"/>
    <w:rsid w:val="00F54C98"/>
    <w:rsid w:val="00F5685B"/>
    <w:rsid w:val="00F60E23"/>
    <w:rsid w:val="00F77501"/>
    <w:rsid w:val="00FB329D"/>
    <w:rsid w:val="00FE02E0"/>
    <w:rsid w:val="00FE62FF"/>
    <w:rsid w:val="00FF636E"/>
    <w:rsid w:val="00FF77C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FF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pPr>
      <w:keepNext/>
      <w:keepLines/>
      <w:pBdr>
        <w:bottom w:val="dotted" w:sz="4" w:space="1" w:color="0070C0"/>
      </w:pBdr>
      <w:spacing w:before="200" w:line="240" w:lineRule="auto"/>
      <w:ind w:left="360" w:hanging="360"/>
      <w:contextualSpacing/>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BB"/>
    <w:rPr>
      <w:rFonts w:ascii="Segoe UI" w:hAnsi="Segoe UI" w:cs="Segoe UI"/>
      <w:sz w:val="18"/>
      <w:szCs w:val="18"/>
    </w:rPr>
  </w:style>
  <w:style w:type="table" w:customStyle="1" w:styleId="TableGrid1">
    <w:name w:val="Table Grid1"/>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6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uiPriority w:val="34"/>
    <w:qFormat/>
    <w:rsid w:val="000602BB"/>
    <w:pPr>
      <w:ind w:left="720"/>
      <w:contextualSpacing/>
    </w:pPr>
    <w:rPr>
      <w:rFonts w:asciiTheme="minorHAnsi" w:eastAsia="SimSun" w:hAnsiTheme="minorHAnsi" w:cstheme="minorBidi"/>
      <w:lang w:val="el-GR" w:eastAsia="en-US"/>
    </w:rPr>
  </w:style>
  <w:style w:type="paragraph" w:styleId="FootnoteText">
    <w:name w:val="footnote text"/>
    <w:basedOn w:val="Normal"/>
    <w:link w:val="FootnoteTextChar"/>
    <w:autoRedefine/>
    <w:uiPriority w:val="99"/>
    <w:unhideWhenUsed/>
    <w:qFormat/>
    <w:rsid w:val="00D35421"/>
    <w:pPr>
      <w:spacing w:after="0" w:line="240" w:lineRule="auto"/>
    </w:pPr>
    <w:rPr>
      <w:rFonts w:asciiTheme="majorHAnsi" w:eastAsia="SimSun" w:hAnsiTheme="majorHAnsi" w:cs="Times New Roman"/>
      <w:sz w:val="18"/>
      <w:szCs w:val="18"/>
      <w:lang w:val="en-US" w:eastAsia="en-US"/>
    </w:rPr>
  </w:style>
  <w:style w:type="character" w:customStyle="1" w:styleId="FootnoteTextChar">
    <w:name w:val="Footnote Text Char"/>
    <w:basedOn w:val="DefaultParagraphFont"/>
    <w:link w:val="FootnoteText"/>
    <w:uiPriority w:val="99"/>
    <w:rsid w:val="00D35421"/>
    <w:rPr>
      <w:rFonts w:asciiTheme="majorHAnsi" w:eastAsia="SimSun" w:hAnsiTheme="majorHAnsi" w:cs="Times New Roman"/>
      <w:sz w:val="18"/>
      <w:szCs w:val="18"/>
      <w:lang w:val="en-US" w:eastAsia="en-US"/>
    </w:rPr>
  </w:style>
  <w:style w:type="character" w:styleId="FootnoteReference">
    <w:name w:val="footnote reference"/>
    <w:basedOn w:val="DefaultParagraphFont"/>
    <w:uiPriority w:val="99"/>
    <w:unhideWhenUsed/>
    <w:rsid w:val="000602BB"/>
    <w:rPr>
      <w:vertAlign w:val="superscript"/>
    </w:rPr>
  </w:style>
  <w:style w:type="character" w:styleId="IntenseEmphasis">
    <w:name w:val="Intense Emphasis"/>
    <w:basedOn w:val="DefaultParagraphFont"/>
    <w:uiPriority w:val="21"/>
    <w:qFormat/>
    <w:rsid w:val="000602BB"/>
    <w:rPr>
      <w:b/>
      <w:bCs/>
      <w:i/>
      <w:iCs/>
      <w:color w:val="4F81BD" w:themeColor="accent1"/>
    </w:rPr>
  </w:style>
  <w:style w:type="table" w:customStyle="1" w:styleId="TableGrid2">
    <w:name w:val="Table Grid2"/>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602BB"/>
    <w:rPr>
      <w:rFonts w:ascii="Arial" w:eastAsia="Arial" w:hAnsi="Arial" w:cs="Arial"/>
      <w:b/>
      <w:sz w:val="24"/>
      <w:szCs w:val="24"/>
    </w:rPr>
  </w:style>
  <w:style w:type="paragraph" w:styleId="TOC2">
    <w:name w:val="toc 2"/>
    <w:basedOn w:val="Normal"/>
    <w:next w:val="Normal"/>
    <w:autoRedefine/>
    <w:uiPriority w:val="39"/>
    <w:unhideWhenUsed/>
    <w:rsid w:val="00A373EE"/>
    <w:pPr>
      <w:tabs>
        <w:tab w:val="right" w:pos="9016"/>
      </w:tabs>
      <w:spacing w:after="100"/>
      <w:ind w:left="220"/>
    </w:pPr>
    <w:rPr>
      <w:rFonts w:asciiTheme="majorHAnsi" w:hAnsiTheme="majorHAnsi"/>
      <w:noProof/>
    </w:rPr>
  </w:style>
  <w:style w:type="character" w:styleId="Hyperlink">
    <w:name w:val="Hyperlink"/>
    <w:basedOn w:val="DefaultParagraphFont"/>
    <w:uiPriority w:val="99"/>
    <w:unhideWhenUsed/>
    <w:rsid w:val="000602BB"/>
    <w:rPr>
      <w:color w:val="0000FF" w:themeColor="hyperlink"/>
      <w:u w:val="single"/>
    </w:rPr>
  </w:style>
  <w:style w:type="paragraph" w:styleId="Date">
    <w:name w:val="Date"/>
    <w:basedOn w:val="Normal"/>
    <w:next w:val="Normal"/>
    <w:link w:val="DateChar"/>
    <w:uiPriority w:val="99"/>
    <w:semiHidden/>
    <w:unhideWhenUsed/>
    <w:rsid w:val="00772F1A"/>
  </w:style>
  <w:style w:type="character" w:customStyle="1" w:styleId="DateChar">
    <w:name w:val="Date Char"/>
    <w:basedOn w:val="DefaultParagraphFont"/>
    <w:link w:val="Date"/>
    <w:uiPriority w:val="99"/>
    <w:semiHidden/>
    <w:rsid w:val="00772F1A"/>
  </w:style>
  <w:style w:type="paragraph" w:styleId="CommentSubject">
    <w:name w:val="annotation subject"/>
    <w:basedOn w:val="CommentText"/>
    <w:next w:val="CommentText"/>
    <w:link w:val="CommentSubjectChar"/>
    <w:uiPriority w:val="99"/>
    <w:semiHidden/>
    <w:unhideWhenUsed/>
    <w:rsid w:val="00F35229"/>
    <w:rPr>
      <w:b/>
      <w:bCs/>
    </w:rPr>
  </w:style>
  <w:style w:type="character" w:customStyle="1" w:styleId="CommentSubjectChar">
    <w:name w:val="Comment Subject Char"/>
    <w:basedOn w:val="CommentTextChar"/>
    <w:link w:val="CommentSubject"/>
    <w:uiPriority w:val="99"/>
    <w:semiHidden/>
    <w:rsid w:val="00F35229"/>
    <w:rPr>
      <w:b/>
      <w:bCs/>
      <w:sz w:val="20"/>
      <w:szCs w:val="20"/>
    </w:rPr>
  </w:style>
  <w:style w:type="paragraph" w:styleId="Header">
    <w:name w:val="header"/>
    <w:basedOn w:val="Normal"/>
    <w:link w:val="HeaderChar"/>
    <w:uiPriority w:val="99"/>
    <w:unhideWhenUsed/>
    <w:rsid w:val="0051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220"/>
  </w:style>
  <w:style w:type="paragraph" w:styleId="Footer">
    <w:name w:val="footer"/>
    <w:basedOn w:val="Normal"/>
    <w:link w:val="FooterChar"/>
    <w:uiPriority w:val="99"/>
    <w:unhideWhenUsed/>
    <w:rsid w:val="0051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220"/>
  </w:style>
  <w:style w:type="character" w:styleId="FollowedHyperlink">
    <w:name w:val="FollowedHyperlink"/>
    <w:basedOn w:val="DefaultParagraphFont"/>
    <w:uiPriority w:val="99"/>
    <w:semiHidden/>
    <w:unhideWhenUsed/>
    <w:rsid w:val="002F04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pPr>
      <w:keepNext/>
      <w:keepLines/>
      <w:pBdr>
        <w:bottom w:val="dotted" w:sz="4" w:space="1" w:color="0070C0"/>
      </w:pBdr>
      <w:spacing w:before="200" w:line="240" w:lineRule="auto"/>
      <w:ind w:left="360" w:hanging="360"/>
      <w:contextualSpacing/>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BB"/>
    <w:rPr>
      <w:rFonts w:ascii="Segoe UI" w:hAnsi="Segoe UI" w:cs="Segoe UI"/>
      <w:sz w:val="18"/>
      <w:szCs w:val="18"/>
    </w:rPr>
  </w:style>
  <w:style w:type="table" w:customStyle="1" w:styleId="TableGrid1">
    <w:name w:val="Table Grid1"/>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6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uiPriority w:val="34"/>
    <w:qFormat/>
    <w:rsid w:val="000602BB"/>
    <w:pPr>
      <w:ind w:left="720"/>
      <w:contextualSpacing/>
    </w:pPr>
    <w:rPr>
      <w:rFonts w:asciiTheme="minorHAnsi" w:eastAsia="SimSun" w:hAnsiTheme="minorHAnsi" w:cstheme="minorBidi"/>
      <w:lang w:val="el-GR" w:eastAsia="en-US"/>
    </w:rPr>
  </w:style>
  <w:style w:type="paragraph" w:styleId="FootnoteText">
    <w:name w:val="footnote text"/>
    <w:basedOn w:val="Normal"/>
    <w:link w:val="FootnoteTextChar"/>
    <w:autoRedefine/>
    <w:uiPriority w:val="99"/>
    <w:unhideWhenUsed/>
    <w:qFormat/>
    <w:rsid w:val="00D35421"/>
    <w:pPr>
      <w:spacing w:after="0" w:line="240" w:lineRule="auto"/>
    </w:pPr>
    <w:rPr>
      <w:rFonts w:asciiTheme="majorHAnsi" w:eastAsia="SimSun" w:hAnsiTheme="majorHAnsi" w:cs="Times New Roman"/>
      <w:sz w:val="18"/>
      <w:szCs w:val="18"/>
      <w:lang w:val="en-US" w:eastAsia="en-US"/>
    </w:rPr>
  </w:style>
  <w:style w:type="character" w:customStyle="1" w:styleId="FootnoteTextChar">
    <w:name w:val="Footnote Text Char"/>
    <w:basedOn w:val="DefaultParagraphFont"/>
    <w:link w:val="FootnoteText"/>
    <w:uiPriority w:val="99"/>
    <w:rsid w:val="00D35421"/>
    <w:rPr>
      <w:rFonts w:asciiTheme="majorHAnsi" w:eastAsia="SimSun" w:hAnsiTheme="majorHAnsi" w:cs="Times New Roman"/>
      <w:sz w:val="18"/>
      <w:szCs w:val="18"/>
      <w:lang w:val="en-US" w:eastAsia="en-US"/>
    </w:rPr>
  </w:style>
  <w:style w:type="character" w:styleId="FootnoteReference">
    <w:name w:val="footnote reference"/>
    <w:basedOn w:val="DefaultParagraphFont"/>
    <w:uiPriority w:val="99"/>
    <w:unhideWhenUsed/>
    <w:rsid w:val="000602BB"/>
    <w:rPr>
      <w:vertAlign w:val="superscript"/>
    </w:rPr>
  </w:style>
  <w:style w:type="character" w:styleId="IntenseEmphasis">
    <w:name w:val="Intense Emphasis"/>
    <w:basedOn w:val="DefaultParagraphFont"/>
    <w:uiPriority w:val="21"/>
    <w:qFormat/>
    <w:rsid w:val="000602BB"/>
    <w:rPr>
      <w:b/>
      <w:bCs/>
      <w:i/>
      <w:iCs/>
      <w:color w:val="4F81BD" w:themeColor="accent1"/>
    </w:rPr>
  </w:style>
  <w:style w:type="table" w:customStyle="1" w:styleId="TableGrid2">
    <w:name w:val="Table Grid2"/>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602BB"/>
    <w:rPr>
      <w:rFonts w:ascii="Arial" w:eastAsia="Arial" w:hAnsi="Arial" w:cs="Arial"/>
      <w:b/>
      <w:sz w:val="24"/>
      <w:szCs w:val="24"/>
    </w:rPr>
  </w:style>
  <w:style w:type="paragraph" w:styleId="TOC2">
    <w:name w:val="toc 2"/>
    <w:basedOn w:val="Normal"/>
    <w:next w:val="Normal"/>
    <w:autoRedefine/>
    <w:uiPriority w:val="39"/>
    <w:unhideWhenUsed/>
    <w:rsid w:val="00A373EE"/>
    <w:pPr>
      <w:tabs>
        <w:tab w:val="right" w:pos="9016"/>
      </w:tabs>
      <w:spacing w:after="100"/>
      <w:ind w:left="220"/>
    </w:pPr>
    <w:rPr>
      <w:rFonts w:asciiTheme="majorHAnsi" w:hAnsiTheme="majorHAnsi"/>
      <w:noProof/>
    </w:rPr>
  </w:style>
  <w:style w:type="character" w:styleId="Hyperlink">
    <w:name w:val="Hyperlink"/>
    <w:basedOn w:val="DefaultParagraphFont"/>
    <w:uiPriority w:val="99"/>
    <w:unhideWhenUsed/>
    <w:rsid w:val="000602BB"/>
    <w:rPr>
      <w:color w:val="0000FF" w:themeColor="hyperlink"/>
      <w:u w:val="single"/>
    </w:rPr>
  </w:style>
  <w:style w:type="paragraph" w:styleId="Date">
    <w:name w:val="Date"/>
    <w:basedOn w:val="Normal"/>
    <w:next w:val="Normal"/>
    <w:link w:val="DateChar"/>
    <w:uiPriority w:val="99"/>
    <w:semiHidden/>
    <w:unhideWhenUsed/>
    <w:rsid w:val="00772F1A"/>
  </w:style>
  <w:style w:type="character" w:customStyle="1" w:styleId="DateChar">
    <w:name w:val="Date Char"/>
    <w:basedOn w:val="DefaultParagraphFont"/>
    <w:link w:val="Date"/>
    <w:uiPriority w:val="99"/>
    <w:semiHidden/>
    <w:rsid w:val="00772F1A"/>
  </w:style>
  <w:style w:type="paragraph" w:styleId="CommentSubject">
    <w:name w:val="annotation subject"/>
    <w:basedOn w:val="CommentText"/>
    <w:next w:val="CommentText"/>
    <w:link w:val="CommentSubjectChar"/>
    <w:uiPriority w:val="99"/>
    <w:semiHidden/>
    <w:unhideWhenUsed/>
    <w:rsid w:val="00F35229"/>
    <w:rPr>
      <w:b/>
      <w:bCs/>
    </w:rPr>
  </w:style>
  <w:style w:type="character" w:customStyle="1" w:styleId="CommentSubjectChar">
    <w:name w:val="Comment Subject Char"/>
    <w:basedOn w:val="CommentTextChar"/>
    <w:link w:val="CommentSubject"/>
    <w:uiPriority w:val="99"/>
    <w:semiHidden/>
    <w:rsid w:val="00F35229"/>
    <w:rPr>
      <w:b/>
      <w:bCs/>
      <w:sz w:val="20"/>
      <w:szCs w:val="20"/>
    </w:rPr>
  </w:style>
  <w:style w:type="paragraph" w:styleId="Header">
    <w:name w:val="header"/>
    <w:basedOn w:val="Normal"/>
    <w:link w:val="HeaderChar"/>
    <w:uiPriority w:val="99"/>
    <w:unhideWhenUsed/>
    <w:rsid w:val="0051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220"/>
  </w:style>
  <w:style w:type="paragraph" w:styleId="Footer">
    <w:name w:val="footer"/>
    <w:basedOn w:val="Normal"/>
    <w:link w:val="FooterChar"/>
    <w:uiPriority w:val="99"/>
    <w:unhideWhenUsed/>
    <w:rsid w:val="0051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220"/>
  </w:style>
  <w:style w:type="character" w:styleId="FollowedHyperlink">
    <w:name w:val="FollowedHyperlink"/>
    <w:basedOn w:val="DefaultParagraphFont"/>
    <w:uiPriority w:val="99"/>
    <w:semiHidden/>
    <w:unhideWhenUsed/>
    <w:rsid w:val="002F0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limateactiontracker.org/countries" TargetMode="External"/><Relationship Id="rId4" Type="http://schemas.openxmlformats.org/officeDocument/2006/relationships/hyperlink" Target="https://www.climatewatchdata.org/" TargetMode="External"/><Relationship Id="rId1" Type="http://schemas.openxmlformats.org/officeDocument/2006/relationships/hyperlink" Target="http://www.ghgprotocol.org/greenhouse-gas-protocol-accounting-reporting-standard-cities" TargetMode="External"/><Relationship Id="rId2" Type="http://schemas.openxmlformats.org/officeDocument/2006/relationships/hyperlink" Target="http://www4.unfccc.int/ndcregistry/Pages/Al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9BAD-DE8E-044C-8A17-17FD374D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632</Words>
  <Characters>3607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Bloomberg LP</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traveler</dc:creator>
  <cp:lastModifiedBy>Steven</cp:lastModifiedBy>
  <cp:revision>5</cp:revision>
  <cp:lastPrinted>2019-06-11T01:31:00Z</cp:lastPrinted>
  <dcterms:created xsi:type="dcterms:W3CDTF">2019-06-11T01:31:00Z</dcterms:created>
  <dcterms:modified xsi:type="dcterms:W3CDTF">2020-08-26T06:17:00Z</dcterms:modified>
</cp:coreProperties>
</file>