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47AAB" w14:textId="77777777" w:rsidR="00191AD6" w:rsidRPr="000602BB" w:rsidRDefault="00191AD6">
      <w:pPr>
        <w:tabs>
          <w:tab w:val="left" w:pos="0"/>
        </w:tabs>
        <w:jc w:val="right"/>
        <w:rPr>
          <w:rFonts w:asciiTheme="majorHAnsi" w:hAnsiTheme="majorHAnsi"/>
        </w:rPr>
      </w:pPr>
    </w:p>
    <w:p w14:paraId="0E42BF60" w14:textId="77777777" w:rsidR="00191AD6" w:rsidRPr="000602BB" w:rsidRDefault="00452215">
      <w:pPr>
        <w:tabs>
          <w:tab w:val="left" w:pos="0"/>
        </w:tabs>
        <w:jc w:val="both"/>
        <w:rPr>
          <w:rFonts w:asciiTheme="majorHAnsi" w:hAnsiTheme="majorHAnsi"/>
          <w:b/>
        </w:rPr>
      </w:pPr>
      <w:r w:rsidRPr="000602BB">
        <w:rPr>
          <w:rFonts w:asciiTheme="majorHAnsi" w:hAnsiTheme="majorHAnsi"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7BD70E08" wp14:editId="1D9ACD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91407" cy="788276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407" cy="788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B483C4" w14:textId="77777777" w:rsidR="00191AD6" w:rsidRPr="000602BB" w:rsidRDefault="00191AD6">
      <w:pPr>
        <w:tabs>
          <w:tab w:val="left" w:pos="0"/>
        </w:tabs>
        <w:jc w:val="both"/>
        <w:rPr>
          <w:rFonts w:asciiTheme="majorHAnsi" w:hAnsiTheme="majorHAnsi"/>
          <w:b/>
          <w:sz w:val="32"/>
          <w:szCs w:val="32"/>
        </w:rPr>
      </w:pPr>
    </w:p>
    <w:p w14:paraId="752FD163" w14:textId="77777777" w:rsidR="00191AD6" w:rsidRPr="000602BB" w:rsidRDefault="00191AD6">
      <w:pPr>
        <w:tabs>
          <w:tab w:val="left" w:pos="0"/>
        </w:tabs>
        <w:jc w:val="both"/>
        <w:rPr>
          <w:rFonts w:asciiTheme="majorHAnsi" w:hAnsiTheme="majorHAnsi"/>
          <w:sz w:val="32"/>
          <w:szCs w:val="32"/>
        </w:rPr>
      </w:pPr>
    </w:p>
    <w:p w14:paraId="4680C557" w14:textId="77777777" w:rsidR="00191AD6" w:rsidRPr="000602BB" w:rsidRDefault="00191AD6">
      <w:pPr>
        <w:tabs>
          <w:tab w:val="left" w:pos="0"/>
        </w:tabs>
        <w:jc w:val="both"/>
        <w:rPr>
          <w:rFonts w:asciiTheme="majorHAnsi" w:hAnsiTheme="majorHAnsi"/>
          <w:sz w:val="32"/>
          <w:szCs w:val="32"/>
        </w:rPr>
      </w:pPr>
    </w:p>
    <w:p w14:paraId="551F768B" w14:textId="77777777" w:rsidR="00191AD6" w:rsidRPr="000602BB" w:rsidRDefault="00191AD6">
      <w:pPr>
        <w:tabs>
          <w:tab w:val="left" w:pos="0"/>
        </w:tabs>
        <w:jc w:val="both"/>
        <w:rPr>
          <w:rFonts w:asciiTheme="majorHAnsi" w:hAnsiTheme="majorHAnsi"/>
          <w:sz w:val="32"/>
          <w:szCs w:val="32"/>
        </w:rPr>
      </w:pPr>
    </w:p>
    <w:p w14:paraId="41125781" w14:textId="3FAE1F57" w:rsidR="00191AD6" w:rsidRPr="006F1E0D" w:rsidRDefault="00452215" w:rsidP="006F1E0D">
      <w:pPr>
        <w:tabs>
          <w:tab w:val="left" w:pos="0"/>
        </w:tabs>
        <w:jc w:val="center"/>
        <w:rPr>
          <w:rFonts w:asciiTheme="majorHAnsi" w:hAnsiTheme="majorHAnsi"/>
          <w:b/>
          <w:sz w:val="32"/>
          <w:szCs w:val="32"/>
        </w:rPr>
      </w:pPr>
      <w:r w:rsidRPr="006F1E0D">
        <w:rPr>
          <w:rFonts w:asciiTheme="majorHAnsi" w:hAnsiTheme="majorHAnsi"/>
          <w:b/>
          <w:sz w:val="28"/>
          <w:szCs w:val="28"/>
        </w:rPr>
        <w:t xml:space="preserve">Global Covenant of Mayors </w:t>
      </w:r>
      <w:r w:rsidR="00BB3DE7" w:rsidRPr="006F1E0D">
        <w:rPr>
          <w:rFonts w:asciiTheme="majorHAnsi" w:hAnsiTheme="majorHAnsi"/>
          <w:b/>
          <w:sz w:val="28"/>
          <w:szCs w:val="28"/>
        </w:rPr>
        <w:br/>
        <w:t>Common Reporting Framework</w:t>
      </w:r>
    </w:p>
    <w:p w14:paraId="516B263D" w14:textId="77777777" w:rsidR="00191AD6" w:rsidRPr="000602BB" w:rsidRDefault="00191AD6" w:rsidP="0070167C">
      <w:pPr>
        <w:tabs>
          <w:tab w:val="left" w:pos="0"/>
        </w:tabs>
        <w:rPr>
          <w:rFonts w:asciiTheme="majorHAnsi" w:hAnsiTheme="majorHAnsi"/>
          <w:sz w:val="32"/>
          <w:szCs w:val="32"/>
        </w:rPr>
      </w:pPr>
    </w:p>
    <w:p w14:paraId="16A6DE0F" w14:textId="77DF3FF2" w:rsidR="00191AD6" w:rsidRPr="000602BB" w:rsidRDefault="00452215">
      <w:pPr>
        <w:tabs>
          <w:tab w:val="left" w:pos="0"/>
        </w:tabs>
        <w:jc w:val="center"/>
        <w:rPr>
          <w:rFonts w:asciiTheme="majorHAnsi" w:hAnsiTheme="majorHAnsi"/>
          <w:b/>
        </w:rPr>
      </w:pPr>
      <w:r w:rsidRPr="000602BB">
        <w:rPr>
          <w:rFonts w:asciiTheme="majorHAnsi" w:hAnsiTheme="majorHAnsi"/>
          <w:b/>
        </w:rPr>
        <w:t xml:space="preserve">Version </w:t>
      </w:r>
      <w:r w:rsidR="006F1E0D">
        <w:rPr>
          <w:rFonts w:asciiTheme="majorHAnsi" w:hAnsiTheme="majorHAnsi"/>
          <w:b/>
        </w:rPr>
        <w:t>6</w:t>
      </w:r>
      <w:r w:rsidRPr="000602BB">
        <w:rPr>
          <w:rFonts w:asciiTheme="majorHAnsi" w:hAnsiTheme="majorHAnsi"/>
          <w:b/>
        </w:rPr>
        <w:t>.0</w:t>
      </w:r>
    </w:p>
    <w:p w14:paraId="1AA1AE82" w14:textId="6760CF6B" w:rsidR="00191AD6" w:rsidRDefault="006F1E0D">
      <w:pPr>
        <w:tabs>
          <w:tab w:val="left" w:pos="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September 13</w:t>
      </w:r>
      <w:r w:rsidRPr="006F1E0D">
        <w:rPr>
          <w:rFonts w:asciiTheme="majorHAnsi" w:hAnsiTheme="majorHAnsi"/>
          <w:vertAlign w:val="superscript"/>
        </w:rPr>
        <w:t>th</w:t>
      </w:r>
      <w:r w:rsidR="00452215" w:rsidRPr="000602BB">
        <w:rPr>
          <w:rFonts w:asciiTheme="majorHAnsi" w:hAnsiTheme="majorHAnsi"/>
        </w:rPr>
        <w:t>, 2018</w:t>
      </w:r>
    </w:p>
    <w:p w14:paraId="0898ED04" w14:textId="77777777" w:rsidR="00772F1A" w:rsidRDefault="00772F1A">
      <w:pPr>
        <w:tabs>
          <w:tab w:val="left" w:pos="0"/>
        </w:tabs>
        <w:jc w:val="center"/>
        <w:rPr>
          <w:rFonts w:asciiTheme="majorHAnsi" w:hAnsiTheme="majorHAnsi"/>
        </w:rPr>
      </w:pPr>
    </w:p>
    <w:p w14:paraId="6DC96B06" w14:textId="0C188F45" w:rsidR="00772F1A" w:rsidRPr="00476762" w:rsidRDefault="00772F1A" w:rsidP="00476762">
      <w:pPr>
        <w:tabs>
          <w:tab w:val="left" w:pos="0"/>
        </w:tabs>
        <w:jc w:val="center"/>
        <w:rPr>
          <w:rFonts w:asciiTheme="majorHAnsi" w:hAnsiTheme="majorHAnsi"/>
          <w:highlight w:val="yellow"/>
        </w:rPr>
      </w:pPr>
    </w:p>
    <w:p w14:paraId="2AC4FEB2" w14:textId="4C311A42" w:rsidR="00191AD6" w:rsidRPr="000602BB" w:rsidRDefault="00191AD6" w:rsidP="0070167C">
      <w:pPr>
        <w:jc w:val="both"/>
        <w:rPr>
          <w:rFonts w:asciiTheme="majorHAnsi" w:hAnsiTheme="majorHAnsi"/>
          <w:color w:val="000000"/>
        </w:rPr>
      </w:pPr>
    </w:p>
    <w:p w14:paraId="626BB26D" w14:textId="77777777" w:rsidR="00191AD6" w:rsidRPr="000602BB" w:rsidRDefault="00191AD6">
      <w:pPr>
        <w:rPr>
          <w:rFonts w:asciiTheme="majorHAnsi" w:hAnsiTheme="majorHAnsi"/>
          <w:b/>
          <w:sz w:val="24"/>
          <w:szCs w:val="24"/>
        </w:rPr>
      </w:pPr>
    </w:p>
    <w:p w14:paraId="58A8EF8A" w14:textId="77777777" w:rsidR="00191AD6" w:rsidRPr="000602BB" w:rsidRDefault="00452215" w:rsidP="0070167C">
      <w:pPr>
        <w:pStyle w:val="Heading2"/>
        <w:spacing w:before="0" w:line="276" w:lineRule="auto"/>
        <w:ind w:left="0" w:firstLine="0"/>
        <w:contextualSpacing w:val="0"/>
        <w:rPr>
          <w:rFonts w:asciiTheme="majorHAnsi" w:eastAsia="Calibri" w:hAnsiTheme="majorHAnsi" w:cs="Calibri"/>
        </w:rPr>
      </w:pPr>
      <w:bookmarkStart w:id="0" w:name="_Toc520794123"/>
      <w:r w:rsidRPr="000602BB">
        <w:rPr>
          <w:rFonts w:asciiTheme="majorHAnsi" w:eastAsia="Calibri" w:hAnsiTheme="majorHAnsi" w:cs="Calibri"/>
        </w:rPr>
        <w:t>3. Greenhouse Gas Emissions Inventory</w:t>
      </w:r>
      <w:bookmarkEnd w:id="0"/>
    </w:p>
    <w:p w14:paraId="63FA6935" w14:textId="77777777" w:rsidR="00191AD6" w:rsidRPr="000602BB" w:rsidRDefault="00452215">
      <w:pPr>
        <w:jc w:val="both"/>
        <w:rPr>
          <w:rFonts w:asciiTheme="majorHAnsi" w:hAnsiTheme="majorHAnsi"/>
        </w:rPr>
      </w:pPr>
      <w:bookmarkStart w:id="1" w:name="_17dp8vu" w:colFirst="0" w:colLast="0"/>
      <w:bookmarkEnd w:id="1"/>
      <w:r w:rsidRPr="000602BB">
        <w:rPr>
          <w:rFonts w:asciiTheme="majorHAnsi" w:hAnsiTheme="majorHAnsi"/>
        </w:rPr>
        <w:t>The following GHG reporting framework is built upon the Emission Inventory Guidance, used by the European Covenant of Mayors and the Global Protocol for Community-Scale Greenhouse Gas Emission Inventories (GPC), used by the Compact of Mayors. Both refer to the 2006 Intergovernmental Panel on Climate Change (IPCC) Guidelines for National Greenhouse Gas Inventories</w:t>
      </w:r>
      <w:r w:rsidRPr="000602BB">
        <w:rPr>
          <w:rFonts w:asciiTheme="majorHAnsi" w:hAnsiTheme="majorHAnsi"/>
          <w:vertAlign w:val="superscript"/>
        </w:rPr>
        <w:footnoteReference w:id="1"/>
      </w:r>
      <w:r w:rsidRPr="000602BB">
        <w:rPr>
          <w:rFonts w:asciiTheme="majorHAnsi" w:hAnsiTheme="majorHAnsi"/>
        </w:rPr>
        <w:t>.</w:t>
      </w:r>
    </w:p>
    <w:p w14:paraId="18A2FB8F" w14:textId="33ECC3CC" w:rsidR="00191AD6" w:rsidRDefault="00452215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Local governments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submit their greenhouse gas emissions inventory to GCoM</w:t>
      </w:r>
      <w:r w:rsidRPr="000602BB">
        <w:rPr>
          <w:rFonts w:asciiTheme="majorHAnsi" w:hAnsiTheme="majorHAnsi"/>
          <w:vertAlign w:val="superscript"/>
        </w:rPr>
        <w:footnoteReference w:id="2"/>
      </w:r>
      <w:r w:rsidRPr="000602BB">
        <w:rPr>
          <w:rFonts w:asciiTheme="majorHAnsi" w:hAnsiTheme="majorHAnsi"/>
        </w:rPr>
        <w:t xml:space="preserve"> within two years </w:t>
      </w:r>
      <w:r w:rsidR="0093686D">
        <w:rPr>
          <w:rFonts w:asciiTheme="majorHAnsi" w:hAnsiTheme="majorHAnsi"/>
        </w:rPr>
        <w:t>upon</w:t>
      </w:r>
      <w:r w:rsidR="0093686D" w:rsidRPr="000602BB">
        <w:rPr>
          <w:rFonts w:asciiTheme="majorHAnsi" w:hAnsiTheme="majorHAnsi"/>
        </w:rPr>
        <w:t xml:space="preserve"> </w:t>
      </w:r>
      <w:r w:rsidRPr="000602BB">
        <w:rPr>
          <w:rFonts w:asciiTheme="majorHAnsi" w:hAnsiTheme="majorHAnsi"/>
        </w:rPr>
        <w:t>joining GCoM</w:t>
      </w:r>
      <w:r w:rsidR="00F35229">
        <w:rPr>
          <w:rFonts w:asciiTheme="majorHAnsi" w:hAnsiTheme="majorHAnsi"/>
        </w:rPr>
        <w:t>.</w:t>
      </w:r>
      <w:r w:rsidRPr="000602BB">
        <w:rPr>
          <w:rFonts w:asciiTheme="majorHAnsi" w:hAnsiTheme="majorHAnsi"/>
        </w:rPr>
        <w:t xml:space="preserve"> </w:t>
      </w:r>
      <w:r w:rsidR="00F35229">
        <w:rPr>
          <w:rFonts w:asciiTheme="majorHAnsi" w:hAnsiTheme="majorHAnsi"/>
        </w:rPr>
        <w:t>E</w:t>
      </w:r>
      <w:r w:rsidRPr="000602BB">
        <w:rPr>
          <w:rFonts w:asciiTheme="majorHAnsi" w:hAnsiTheme="majorHAnsi"/>
        </w:rPr>
        <w:t xml:space="preserve">very subsequent two years, or as set by regional GCoM </w:t>
      </w:r>
      <w:r w:rsidR="00750008">
        <w:rPr>
          <w:rFonts w:asciiTheme="majorHAnsi" w:hAnsiTheme="majorHAnsi"/>
        </w:rPr>
        <w:t>offices</w:t>
      </w:r>
      <w:r w:rsidR="00F35229">
        <w:rPr>
          <w:rFonts w:asciiTheme="majorHAnsi" w:hAnsiTheme="majorHAnsi"/>
        </w:rPr>
        <w:t xml:space="preserve">, a more recent </w:t>
      </w:r>
      <w:r w:rsidR="00F35229" w:rsidRPr="009A3DD4">
        <w:rPr>
          <w:rFonts w:asciiTheme="majorHAnsi" w:hAnsiTheme="majorHAnsi"/>
        </w:rPr>
        <w:t>greenhouse gas emissions inventory</w:t>
      </w:r>
      <w:r w:rsidR="00F35229">
        <w:rPr>
          <w:rFonts w:asciiTheme="majorHAnsi" w:hAnsiTheme="majorHAnsi"/>
        </w:rPr>
        <w:t xml:space="preserve"> </w:t>
      </w:r>
      <w:r w:rsidR="00F35229" w:rsidRPr="0091786A">
        <w:rPr>
          <w:rFonts w:asciiTheme="majorHAnsi" w:hAnsiTheme="majorHAnsi"/>
          <w:b/>
        </w:rPr>
        <w:t>shall</w:t>
      </w:r>
      <w:r w:rsidR="00F35229">
        <w:rPr>
          <w:rFonts w:asciiTheme="majorHAnsi" w:hAnsiTheme="majorHAnsi"/>
        </w:rPr>
        <w:t xml:space="preserve"> be submitted to GCoM.</w:t>
      </w:r>
      <w:r w:rsidRPr="000602BB">
        <w:rPr>
          <w:rFonts w:asciiTheme="majorHAnsi" w:hAnsiTheme="majorHAnsi"/>
        </w:rPr>
        <w:t xml:space="preserve"> Greenhouse gas emissions inventories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cover a consecutive period of 12 months. </w:t>
      </w:r>
    </w:p>
    <w:p w14:paraId="3F99669B" w14:textId="77777777" w:rsidR="00191AD6" w:rsidRPr="000602BB" w:rsidRDefault="00452215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2" w:name="_3rdcrjn" w:colFirst="0" w:colLast="0"/>
      <w:bookmarkStart w:id="3" w:name="_Toc512239431"/>
      <w:bookmarkStart w:id="4" w:name="_Toc520794124"/>
      <w:bookmarkEnd w:id="2"/>
      <w:r w:rsidRPr="000602BB">
        <w:rPr>
          <w:rFonts w:asciiTheme="majorHAnsi" w:eastAsia="Calibri" w:hAnsiTheme="majorHAnsi" w:cs="Calibri"/>
          <w:sz w:val="22"/>
          <w:szCs w:val="22"/>
        </w:rPr>
        <w:t>3.1. GHG Accounting Principles</w:t>
      </w:r>
      <w:bookmarkEnd w:id="3"/>
      <w:bookmarkEnd w:id="4"/>
    </w:p>
    <w:p w14:paraId="7B0210FC" w14:textId="22EA0D11" w:rsidR="00191AD6" w:rsidRPr="000602BB" w:rsidRDefault="00452215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In addition to the general reporting principles mentioned in section </w:t>
      </w:r>
      <w:r w:rsidR="00022C6F">
        <w:rPr>
          <w:rFonts w:asciiTheme="majorHAnsi" w:hAnsiTheme="majorHAnsi"/>
        </w:rPr>
        <w:t>2.</w:t>
      </w:r>
      <w:r w:rsidRPr="000602BB">
        <w:rPr>
          <w:rFonts w:asciiTheme="majorHAnsi" w:hAnsiTheme="majorHAnsi"/>
        </w:rPr>
        <w:t xml:space="preserve">2 above, local governments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follow the GHG accounting principles outlined below:</w:t>
      </w:r>
    </w:p>
    <w:p w14:paraId="19529B18" w14:textId="77777777" w:rsidR="00191AD6" w:rsidRPr="000602BB" w:rsidRDefault="00452215">
      <w:pPr>
        <w:numPr>
          <w:ilvl w:val="0"/>
          <w:numId w:val="19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The inventory shall be relevant to the local and regional (where relevant) situation: reflecting the specific activities and policy-making needs of the city; taking into account its capacity and regulatory context.</w:t>
      </w:r>
    </w:p>
    <w:p w14:paraId="1114B1D3" w14:textId="77777777" w:rsidR="00191AD6" w:rsidRPr="000602BB" w:rsidRDefault="00452215">
      <w:pPr>
        <w:numPr>
          <w:ilvl w:val="0"/>
          <w:numId w:val="19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lastRenderedPageBreak/>
        <w:t xml:space="preserve">Local governments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consider all categories of emission sources and report all emissions that are significant. Exclusion of emission sources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disclosed and justified, using the notation keys</w:t>
      </w:r>
      <w:r w:rsidRPr="000602BB">
        <w:rPr>
          <w:rFonts w:asciiTheme="majorHAnsi" w:hAnsiTheme="majorHAnsi"/>
          <w:color w:val="000000"/>
          <w:vertAlign w:val="superscript"/>
        </w:rPr>
        <w:footnoteReference w:id="3"/>
      </w:r>
      <w:r w:rsidRPr="000602BB">
        <w:rPr>
          <w:rFonts w:asciiTheme="majorHAnsi" w:hAnsiTheme="majorHAnsi"/>
          <w:color w:val="000000"/>
        </w:rPr>
        <w:t xml:space="preserve"> in the reporting template.</w:t>
      </w:r>
    </w:p>
    <w:p w14:paraId="61F6B7C7" w14:textId="1D2046FF" w:rsidR="00191AD6" w:rsidRPr="000602BB" w:rsidRDefault="00452215">
      <w:pPr>
        <w:numPr>
          <w:ilvl w:val="0"/>
          <w:numId w:val="19"/>
        </w:num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Local governments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compile GHG inventories on a regular basis, to enable monitoring and tracking the impact of climate actions, also to ensure continuous improvement in data quality, resulting in a clearly defined inventory boundary, improved data sources and defined methodologies that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be consistent through the years (e.g., clarify where there is an evolution, </w:t>
      </w:r>
      <w:r w:rsidR="0093686D">
        <w:rPr>
          <w:rFonts w:asciiTheme="majorHAnsi" w:hAnsiTheme="majorHAnsi"/>
        </w:rPr>
        <w:t>e.g.</w:t>
      </w:r>
      <w:r w:rsidRPr="000602BB">
        <w:rPr>
          <w:rFonts w:asciiTheme="majorHAnsi" w:hAnsiTheme="majorHAnsi"/>
        </w:rPr>
        <w:t xml:space="preserve"> population growth), so that differences in the results between years reflect real differences in emissions and mitigation efforts by the local government and the city.</w:t>
      </w:r>
    </w:p>
    <w:p w14:paraId="50F53C1C" w14:textId="77777777" w:rsidR="00191AD6" w:rsidRPr="000602BB" w:rsidRDefault="00452215">
      <w:pPr>
        <w:numPr>
          <w:ilvl w:val="0"/>
          <w:numId w:val="19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Local governments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ensure sufficient accuracy to give local decision makers and the public reasonable assurance of the integrity of emissions reported. Efforts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made to reduce uncertainties and make improvements over time.</w:t>
      </w:r>
    </w:p>
    <w:p w14:paraId="6B0FF0CF" w14:textId="7A506EF6" w:rsidR="00191AD6" w:rsidRDefault="00452215">
      <w:pPr>
        <w:numPr>
          <w:ilvl w:val="0"/>
          <w:numId w:val="19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To the extent possible, all relevant activity data</w:t>
      </w:r>
      <w:r w:rsidRPr="000602BB">
        <w:rPr>
          <w:rFonts w:asciiTheme="majorHAnsi" w:hAnsiTheme="majorHAnsi"/>
          <w:color w:val="000000"/>
          <w:vertAlign w:val="superscript"/>
        </w:rPr>
        <w:footnoteReference w:id="4"/>
      </w:r>
      <w:r w:rsidRPr="000602BB">
        <w:rPr>
          <w:rFonts w:asciiTheme="majorHAnsi" w:hAnsiTheme="majorHAnsi"/>
          <w:color w:val="000000"/>
        </w:rPr>
        <w:t xml:space="preserve">, data sources, methodologies, assumptions, exclusions and deviations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documented and reported, to allow for review, replication of good practice, and tackling challenges identified (e.g., lack of access to data in country</w:t>
      </w:r>
      <w:r w:rsidR="0093686D">
        <w:rPr>
          <w:rFonts w:asciiTheme="majorHAnsi" w:hAnsiTheme="majorHAnsi"/>
          <w:color w:val="000000"/>
        </w:rPr>
        <w:t xml:space="preserve"> X</w:t>
      </w:r>
      <w:r w:rsidRPr="000602BB">
        <w:rPr>
          <w:rFonts w:asciiTheme="majorHAnsi" w:hAnsiTheme="majorHAnsi"/>
          <w:color w:val="000000"/>
        </w:rPr>
        <w:t>).</w:t>
      </w:r>
    </w:p>
    <w:p w14:paraId="1A1788F5" w14:textId="7ABDDAC2" w:rsidR="00976B74" w:rsidRPr="000602BB" w:rsidRDefault="00976B74" w:rsidP="00976B74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5" w:name="_Toc512239435"/>
      <w:bookmarkStart w:id="6" w:name="_Toc520794125"/>
      <w:r w:rsidRPr="000602BB">
        <w:rPr>
          <w:rFonts w:asciiTheme="majorHAnsi" w:eastAsia="Calibri" w:hAnsiTheme="majorHAnsi" w:cs="Calibri"/>
          <w:sz w:val="22"/>
          <w:szCs w:val="22"/>
        </w:rPr>
        <w:t>3.</w:t>
      </w:r>
      <w:r>
        <w:rPr>
          <w:rFonts w:asciiTheme="majorHAnsi" w:eastAsia="Calibri" w:hAnsiTheme="majorHAnsi" w:cs="Calibri"/>
          <w:sz w:val="22"/>
          <w:szCs w:val="22"/>
        </w:rPr>
        <w:t>2</w:t>
      </w:r>
      <w:r w:rsidRPr="000602BB">
        <w:rPr>
          <w:rFonts w:asciiTheme="majorHAnsi" w:eastAsia="Calibri" w:hAnsiTheme="majorHAnsi" w:cs="Calibri"/>
          <w:sz w:val="22"/>
          <w:szCs w:val="22"/>
        </w:rPr>
        <w:t>. Notation Keys</w:t>
      </w:r>
      <w:bookmarkEnd w:id="5"/>
      <w:bookmarkEnd w:id="6"/>
    </w:p>
    <w:p w14:paraId="13EDE477" w14:textId="77777777" w:rsidR="00976B74" w:rsidRPr="000602BB" w:rsidRDefault="00976B74" w:rsidP="00976B74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Notation keys </w:t>
      </w:r>
      <w:r w:rsidRPr="000602BB">
        <w:rPr>
          <w:rFonts w:asciiTheme="majorHAnsi" w:hAnsiTheme="majorHAnsi"/>
          <w:b/>
        </w:rPr>
        <w:t>may</w:t>
      </w:r>
      <w:r w:rsidRPr="000602BB">
        <w:rPr>
          <w:rFonts w:asciiTheme="majorHAnsi" w:hAnsiTheme="majorHAnsi"/>
        </w:rPr>
        <w:t xml:space="preserve"> be used to accommodate limitations in data availability and differences in emission sources between local governments. Where notation keys are used, an accompanying explanation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be provided.</w:t>
      </w:r>
    </w:p>
    <w:p w14:paraId="28626B52" w14:textId="77777777" w:rsidR="00976B74" w:rsidRPr="000602BB" w:rsidRDefault="00976B74" w:rsidP="00976B74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>The following are the descriptions on how to use the notation keys:</w:t>
      </w:r>
    </w:p>
    <w:p w14:paraId="62BBE435" w14:textId="607E4D5E" w:rsidR="00976B74" w:rsidRPr="000602BB" w:rsidRDefault="00976B74" w:rsidP="00976B74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b/>
          <w:color w:val="000000"/>
        </w:rPr>
        <w:t>“NO”</w:t>
      </w:r>
      <w:r w:rsidRPr="000602BB">
        <w:rPr>
          <w:rFonts w:asciiTheme="majorHAnsi" w:hAnsiTheme="majorHAnsi"/>
          <w:color w:val="000000"/>
        </w:rPr>
        <w:t xml:space="preserve"> (not occurring): An activity or process does not occur or exist within the city. </w:t>
      </w:r>
      <w:r>
        <w:rPr>
          <w:rFonts w:asciiTheme="majorHAnsi" w:hAnsiTheme="majorHAnsi"/>
          <w:color w:val="000000"/>
        </w:rPr>
        <w:t>This notation key m</w:t>
      </w:r>
      <w:r w:rsidRPr="000602BB">
        <w:rPr>
          <w:rFonts w:asciiTheme="majorHAnsi" w:hAnsiTheme="majorHAnsi"/>
          <w:color w:val="000000"/>
        </w:rPr>
        <w:t>ay also be used for insignificant sources.</w:t>
      </w:r>
    </w:p>
    <w:p w14:paraId="5D2EA0AA" w14:textId="77777777" w:rsidR="00976B74" w:rsidRPr="000602BB" w:rsidRDefault="00976B74" w:rsidP="00976B74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b/>
          <w:color w:val="000000"/>
        </w:rPr>
        <w:t>“IE”</w:t>
      </w:r>
      <w:r w:rsidRPr="000602BB">
        <w:rPr>
          <w:rFonts w:asciiTheme="majorHAnsi" w:hAnsiTheme="majorHAnsi"/>
          <w:color w:val="000000"/>
        </w:rPr>
        <w:t xml:space="preserve"> (included elsewhere): GHG emissions for this activity are estimated and presented in another category in the same inventory, stating where it is added.</w:t>
      </w:r>
      <w:r>
        <w:rPr>
          <w:rFonts w:asciiTheme="majorHAnsi" w:hAnsiTheme="majorHAnsi"/>
          <w:color w:val="000000"/>
        </w:rPr>
        <w:t xml:space="preserve"> This notation key may be used where it is difficult to disaggregate data into multiple sub-sectors.</w:t>
      </w:r>
    </w:p>
    <w:p w14:paraId="60D68AAC" w14:textId="77777777" w:rsidR="00976B74" w:rsidRPr="000602BB" w:rsidRDefault="00976B74" w:rsidP="00976B74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b/>
          <w:color w:val="000000"/>
        </w:rPr>
        <w:t>“NE”</w:t>
      </w:r>
      <w:r w:rsidRPr="000602BB">
        <w:rPr>
          <w:rFonts w:asciiTheme="majorHAnsi" w:hAnsiTheme="majorHAnsi"/>
          <w:color w:val="000000"/>
        </w:rPr>
        <w:t xml:space="preserve"> (not estimated): GHG emissions occur but have not been estimated or reported, with a justification why.</w:t>
      </w:r>
    </w:p>
    <w:p w14:paraId="2192DE6C" w14:textId="165EBD9B" w:rsidR="00976B74" w:rsidRPr="000602BB" w:rsidRDefault="00976B74" w:rsidP="00976B74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b/>
          <w:color w:val="000000"/>
        </w:rPr>
        <w:t>“C”</w:t>
      </w:r>
      <w:r w:rsidRPr="000602BB">
        <w:rPr>
          <w:rFonts w:asciiTheme="majorHAnsi" w:hAnsiTheme="majorHAnsi"/>
          <w:color w:val="000000"/>
        </w:rPr>
        <w:t xml:space="preserve"> (confidential): GHG </w:t>
      </w:r>
      <w:proofErr w:type="gramStart"/>
      <w:r w:rsidRPr="000602BB">
        <w:rPr>
          <w:rFonts w:asciiTheme="majorHAnsi" w:hAnsiTheme="majorHAnsi"/>
          <w:color w:val="000000"/>
        </w:rPr>
        <w:t>emissions which</w:t>
      </w:r>
      <w:proofErr w:type="gramEnd"/>
      <w:r w:rsidRPr="000602BB">
        <w:rPr>
          <w:rFonts w:asciiTheme="majorHAnsi" w:hAnsiTheme="majorHAnsi"/>
          <w:color w:val="000000"/>
        </w:rPr>
        <w:t xml:space="preserve"> could lead to the disclosure of confidential information, and as such a</w:t>
      </w:r>
      <w:r w:rsidR="00022C6F">
        <w:rPr>
          <w:rFonts w:asciiTheme="majorHAnsi" w:hAnsiTheme="majorHAnsi"/>
          <w:color w:val="000000"/>
        </w:rPr>
        <w:t>re</w:t>
      </w:r>
      <w:r w:rsidRPr="000602BB">
        <w:rPr>
          <w:rFonts w:asciiTheme="majorHAnsi" w:hAnsiTheme="majorHAnsi"/>
          <w:color w:val="000000"/>
        </w:rPr>
        <w:t xml:space="preserve"> not reported publicly.</w:t>
      </w:r>
    </w:p>
    <w:p w14:paraId="1A6BAB54" w14:textId="686B09F4" w:rsidR="00976B74" w:rsidRPr="00E335D4" w:rsidRDefault="00976B74" w:rsidP="00976B74">
      <w:pPr>
        <w:jc w:val="both"/>
        <w:rPr>
          <w:rFonts w:asciiTheme="majorHAnsi" w:hAnsiTheme="majorHAnsi"/>
        </w:rPr>
      </w:pPr>
      <w:r w:rsidRPr="00E335D4">
        <w:rPr>
          <w:rFonts w:asciiTheme="majorHAnsi" w:hAnsiTheme="majorHAnsi"/>
        </w:rPr>
        <w:t xml:space="preserve">Further guidance on the use and application of notation keys will be provided </w:t>
      </w:r>
      <w:r>
        <w:rPr>
          <w:rFonts w:asciiTheme="majorHAnsi" w:hAnsiTheme="majorHAnsi"/>
        </w:rPr>
        <w:t>in the implementation phase</w:t>
      </w:r>
      <w:r w:rsidRPr="00E335D4">
        <w:rPr>
          <w:rFonts w:asciiTheme="majorHAnsi" w:hAnsiTheme="majorHAnsi"/>
        </w:rPr>
        <w:t>.</w:t>
      </w:r>
    </w:p>
    <w:p w14:paraId="5D9631F4" w14:textId="6D69CAAD" w:rsidR="00191AD6" w:rsidRPr="000602BB" w:rsidRDefault="00452215">
      <w:pPr>
        <w:pStyle w:val="Heading2"/>
        <w:spacing w:before="0"/>
        <w:contextualSpacing w:val="0"/>
        <w:rPr>
          <w:rFonts w:asciiTheme="majorHAnsi" w:eastAsia="Calibri" w:hAnsiTheme="majorHAnsi" w:cs="Calibri"/>
          <w:b w:val="0"/>
        </w:rPr>
      </w:pPr>
      <w:bookmarkStart w:id="7" w:name="_Toc512239432"/>
      <w:bookmarkStart w:id="8" w:name="_Toc520794126"/>
      <w:r w:rsidRPr="000602BB">
        <w:rPr>
          <w:rFonts w:asciiTheme="majorHAnsi" w:eastAsia="Calibri" w:hAnsiTheme="majorHAnsi" w:cs="Calibri"/>
          <w:sz w:val="22"/>
          <w:szCs w:val="22"/>
        </w:rPr>
        <w:t>3.</w:t>
      </w:r>
      <w:r w:rsidR="00976B74">
        <w:rPr>
          <w:rFonts w:asciiTheme="majorHAnsi" w:eastAsia="Calibri" w:hAnsiTheme="majorHAnsi" w:cs="Calibri"/>
          <w:sz w:val="22"/>
          <w:szCs w:val="22"/>
        </w:rPr>
        <w:t>3</w:t>
      </w:r>
      <w:r w:rsidRPr="000602BB">
        <w:rPr>
          <w:rFonts w:asciiTheme="majorHAnsi" w:eastAsia="Calibri" w:hAnsiTheme="majorHAnsi" w:cs="Calibri"/>
          <w:sz w:val="22"/>
          <w:szCs w:val="22"/>
        </w:rPr>
        <w:t>. Emission Sources</w:t>
      </w:r>
      <w:bookmarkEnd w:id="7"/>
      <w:bookmarkEnd w:id="8"/>
    </w:p>
    <w:p w14:paraId="6607481D" w14:textId="69AD7388" w:rsidR="00191AD6" w:rsidRPr="00A373EE" w:rsidRDefault="00452215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Local governments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report GHG emissions from at least three main sectors, namely stationary energy, transportation, and waste. The detailed reporting requirements are described in the </w:t>
      </w:r>
      <w:r w:rsidRPr="00A373EE">
        <w:rPr>
          <w:rFonts w:asciiTheme="majorHAnsi" w:hAnsiTheme="majorHAnsi"/>
        </w:rPr>
        <w:t>following subsections</w:t>
      </w:r>
      <w:r w:rsidR="006B60C5" w:rsidRPr="00A373EE">
        <w:rPr>
          <w:rFonts w:asciiTheme="majorHAnsi" w:hAnsiTheme="majorHAnsi"/>
        </w:rPr>
        <w:t>.</w:t>
      </w:r>
    </w:p>
    <w:p w14:paraId="6A33D252" w14:textId="026EDBF5" w:rsidR="00F35229" w:rsidRDefault="00F35229" w:rsidP="00F35229">
      <w:pPr>
        <w:jc w:val="both"/>
        <w:rPr>
          <w:rFonts w:asciiTheme="majorHAnsi" w:hAnsiTheme="majorHAnsi"/>
        </w:rPr>
      </w:pPr>
      <w:r w:rsidRPr="009A3DD4">
        <w:rPr>
          <w:rFonts w:asciiTheme="majorHAnsi" w:hAnsiTheme="majorHAnsi"/>
        </w:rPr>
        <w:t xml:space="preserve">Local governments </w:t>
      </w:r>
      <w:r>
        <w:rPr>
          <w:rFonts w:asciiTheme="majorHAnsi" w:hAnsiTheme="majorHAnsi"/>
          <w:b/>
        </w:rPr>
        <w:t xml:space="preserve">should </w:t>
      </w:r>
      <w:r w:rsidRPr="0091786A">
        <w:rPr>
          <w:rFonts w:asciiTheme="majorHAnsi" w:hAnsiTheme="majorHAnsi"/>
        </w:rPr>
        <w:t>also</w:t>
      </w:r>
      <w:r w:rsidRPr="009A3DD4">
        <w:rPr>
          <w:rFonts w:asciiTheme="majorHAnsi" w:hAnsiTheme="majorHAnsi"/>
        </w:rPr>
        <w:t xml:space="preserve"> report GHG emissions </w:t>
      </w:r>
      <w:r w:rsidR="00452215" w:rsidRPr="000602BB">
        <w:rPr>
          <w:rFonts w:asciiTheme="majorHAnsi" w:hAnsiTheme="majorHAnsi"/>
        </w:rPr>
        <w:t>from Industrial Processes and Product Use (IPPU) and Agriculture, Forestry and Other Land Use (AFOLU) sectors</w:t>
      </w:r>
      <w:r w:rsidR="00452215" w:rsidRPr="000602BB">
        <w:rPr>
          <w:rFonts w:asciiTheme="majorHAnsi" w:hAnsiTheme="majorHAnsi"/>
          <w:vertAlign w:val="superscript"/>
        </w:rPr>
        <w:footnoteReference w:id="5"/>
      </w:r>
      <w:r>
        <w:rPr>
          <w:rFonts w:asciiTheme="majorHAnsi" w:hAnsiTheme="majorHAnsi"/>
        </w:rPr>
        <w:t xml:space="preserve"> where these are significant</w:t>
      </w:r>
      <w:r w:rsidRPr="009A3DD4">
        <w:rPr>
          <w:rFonts w:asciiTheme="majorHAnsi" w:hAnsiTheme="majorHAnsi"/>
        </w:rPr>
        <w:t>.</w:t>
      </w:r>
    </w:p>
    <w:p w14:paraId="6118757E" w14:textId="77777777" w:rsidR="00F35229" w:rsidRPr="009A3DD4" w:rsidRDefault="00F35229" w:rsidP="00F352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Additionally, local governments </w:t>
      </w:r>
      <w:r w:rsidRPr="0091786A">
        <w:rPr>
          <w:rFonts w:asciiTheme="majorHAnsi" w:hAnsiTheme="majorHAnsi"/>
          <w:b/>
        </w:rPr>
        <w:t>may</w:t>
      </w:r>
      <w:r>
        <w:rPr>
          <w:rFonts w:asciiTheme="majorHAnsi" w:hAnsiTheme="majorHAnsi"/>
        </w:rPr>
        <w:t xml:space="preserve"> report GHG emissions from upstream activities, such as material extraction, or other out-of-boundary sources.</w:t>
      </w:r>
    </w:p>
    <w:p w14:paraId="0FDE8668" w14:textId="5C7CB9C3" w:rsidR="00B14511" w:rsidRPr="000602BB" w:rsidRDefault="008A3A80">
      <w:pPr>
        <w:jc w:val="both"/>
        <w:rPr>
          <w:rFonts w:asciiTheme="majorHAnsi" w:hAnsiTheme="majorHAnsi"/>
        </w:rPr>
      </w:pPr>
      <w:r w:rsidRPr="0091786A">
        <w:rPr>
          <w:rFonts w:asciiTheme="majorHAnsi" w:hAnsiTheme="majorHAnsi"/>
        </w:rPr>
        <w:t xml:space="preserve">Further guidance on </w:t>
      </w:r>
      <w:r>
        <w:rPr>
          <w:rFonts w:asciiTheme="majorHAnsi" w:hAnsiTheme="majorHAnsi"/>
        </w:rPr>
        <w:t>the reporting of</w:t>
      </w:r>
      <w:r w:rsidR="00041DB4">
        <w:rPr>
          <w:rFonts w:asciiTheme="majorHAnsi" w:hAnsiTheme="majorHAnsi"/>
        </w:rPr>
        <w:t xml:space="preserve"> emissions</w:t>
      </w:r>
      <w:r>
        <w:rPr>
          <w:rFonts w:asciiTheme="majorHAnsi" w:hAnsiTheme="majorHAnsi"/>
        </w:rPr>
        <w:t xml:space="preserve"> </w:t>
      </w:r>
      <w:r w:rsidR="00022C6F">
        <w:rPr>
          <w:rFonts w:asciiTheme="majorHAnsi" w:hAnsiTheme="majorHAnsi"/>
        </w:rPr>
        <w:t xml:space="preserve">from </w:t>
      </w:r>
      <w:r>
        <w:rPr>
          <w:rFonts w:asciiTheme="majorHAnsi" w:hAnsiTheme="majorHAnsi"/>
        </w:rPr>
        <w:t>IP</w:t>
      </w:r>
      <w:r w:rsidR="002047C2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U, AFOLU and </w:t>
      </w:r>
      <w:r w:rsidR="00041DB4">
        <w:rPr>
          <w:rFonts w:asciiTheme="majorHAnsi" w:hAnsiTheme="majorHAnsi"/>
        </w:rPr>
        <w:t>other sources</w:t>
      </w:r>
      <w:r>
        <w:rPr>
          <w:rFonts w:asciiTheme="majorHAnsi" w:hAnsiTheme="majorHAnsi"/>
        </w:rPr>
        <w:t xml:space="preserve"> </w:t>
      </w:r>
      <w:r w:rsidRPr="0091786A">
        <w:rPr>
          <w:rFonts w:asciiTheme="majorHAnsi" w:hAnsiTheme="majorHAnsi"/>
        </w:rPr>
        <w:t xml:space="preserve">will be provided </w:t>
      </w:r>
      <w:r w:rsidR="00E820D7">
        <w:rPr>
          <w:rFonts w:asciiTheme="majorHAnsi" w:hAnsiTheme="majorHAnsi"/>
        </w:rPr>
        <w:t>in the implementation phase</w:t>
      </w:r>
      <w:r w:rsidRPr="0091786A">
        <w:rPr>
          <w:rFonts w:asciiTheme="majorHAnsi" w:hAnsiTheme="majorHAnsi"/>
        </w:rPr>
        <w:t>.</w:t>
      </w:r>
    </w:p>
    <w:p w14:paraId="3249BF2D" w14:textId="77777777" w:rsidR="00191AD6" w:rsidRPr="000602BB" w:rsidRDefault="00452215">
      <w:pPr>
        <w:jc w:val="both"/>
        <w:rPr>
          <w:rFonts w:asciiTheme="majorHAnsi" w:hAnsiTheme="majorHAnsi"/>
          <w:b/>
        </w:rPr>
      </w:pPr>
      <w:r w:rsidRPr="000602BB">
        <w:rPr>
          <w:rFonts w:asciiTheme="majorHAnsi" w:hAnsiTheme="majorHAnsi"/>
          <w:b/>
        </w:rPr>
        <w:lastRenderedPageBreak/>
        <w:t>(1) Stationary energy</w:t>
      </w:r>
    </w:p>
    <w:p w14:paraId="5237F604" w14:textId="77777777" w:rsidR="00191AD6" w:rsidRPr="000602BB" w:rsidRDefault="00452215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All GHG emissions from fuel combustion and the consumption of grid-supplied energy, in stationary sources within the city boundary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reported. </w:t>
      </w:r>
    </w:p>
    <w:p w14:paraId="47E5DB08" w14:textId="77777777" w:rsidR="00191AD6" w:rsidRPr="000602BB" w:rsidRDefault="00452215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proofErr w:type="gramStart"/>
      <w:r w:rsidRPr="000602BB">
        <w:rPr>
          <w:rFonts w:asciiTheme="majorHAnsi" w:hAnsiTheme="majorHAnsi"/>
          <w:color w:val="000000"/>
        </w:rPr>
        <w:t xml:space="preserve">The emissions data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disaggregated by residential buildings, commercial buildings and facilities, institutional buildings and facilities, industry</w:t>
      </w:r>
      <w:r w:rsidRPr="000602BB">
        <w:rPr>
          <w:rFonts w:asciiTheme="majorHAnsi" w:hAnsiTheme="majorHAnsi"/>
          <w:color w:val="000000"/>
          <w:vertAlign w:val="superscript"/>
        </w:rPr>
        <w:footnoteReference w:id="6"/>
      </w:r>
      <w:r w:rsidRPr="000602BB">
        <w:rPr>
          <w:rFonts w:asciiTheme="majorHAnsi" w:hAnsiTheme="majorHAnsi"/>
          <w:color w:val="000000"/>
        </w:rPr>
        <w:t xml:space="preserve"> and agriculture, forestry, and fisheries</w:t>
      </w:r>
      <w:proofErr w:type="gramEnd"/>
      <w:r w:rsidRPr="000602BB">
        <w:rPr>
          <w:rFonts w:asciiTheme="majorHAnsi" w:hAnsiTheme="majorHAnsi"/>
          <w:color w:val="000000"/>
        </w:rPr>
        <w:t>.</w:t>
      </w:r>
    </w:p>
    <w:p w14:paraId="5810AB1B" w14:textId="77777777" w:rsidR="00191AD6" w:rsidRPr="000602BB" w:rsidRDefault="00452215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GHG emissions from sources covered by a regional or national emissions trading scheme (ETS), or similar,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be identified.</w:t>
      </w:r>
    </w:p>
    <w:p w14:paraId="1281058D" w14:textId="77777777" w:rsidR="00191AD6" w:rsidRPr="000602BB" w:rsidRDefault="00452215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All fugitive emissions within the city boundary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reported.</w:t>
      </w:r>
    </w:p>
    <w:p w14:paraId="7ABEA46C" w14:textId="77777777" w:rsidR="00191AD6" w:rsidRPr="000602BB" w:rsidRDefault="00452215">
      <w:pPr>
        <w:jc w:val="both"/>
        <w:rPr>
          <w:rFonts w:asciiTheme="majorHAnsi" w:hAnsiTheme="majorHAnsi"/>
          <w:b/>
        </w:rPr>
      </w:pPr>
      <w:r w:rsidRPr="000602BB">
        <w:rPr>
          <w:rFonts w:asciiTheme="majorHAnsi" w:hAnsiTheme="majorHAnsi"/>
          <w:b/>
        </w:rPr>
        <w:t>(2) Transportation</w:t>
      </w:r>
    </w:p>
    <w:p w14:paraId="0A38A16E" w14:textId="77777777" w:rsidR="002D50E9" w:rsidRDefault="00452215" w:rsidP="002D50E9">
      <w:pPr>
        <w:numPr>
          <w:ilvl w:val="0"/>
          <w:numId w:val="2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2D50E9">
        <w:rPr>
          <w:rFonts w:asciiTheme="majorHAnsi" w:hAnsiTheme="majorHAnsi"/>
          <w:color w:val="000000"/>
        </w:rPr>
        <w:t xml:space="preserve">All GHG emissions from fuel combustion and use of grid-supplied energy for transportation within the city boundary </w:t>
      </w:r>
      <w:r w:rsidRPr="00BB3DE7">
        <w:rPr>
          <w:rFonts w:asciiTheme="majorHAnsi" w:hAnsiTheme="majorHAnsi"/>
          <w:b/>
          <w:bCs/>
          <w:color w:val="000000"/>
        </w:rPr>
        <w:t xml:space="preserve">shall </w:t>
      </w:r>
      <w:r w:rsidRPr="002D50E9">
        <w:rPr>
          <w:rFonts w:asciiTheme="majorHAnsi" w:hAnsiTheme="majorHAnsi"/>
          <w:color w:val="000000"/>
        </w:rPr>
        <w:t>be reported and disaggregated by mode: on-road, rail, waterborne navigation, aviation, and off-road.</w:t>
      </w:r>
    </w:p>
    <w:p w14:paraId="3980F8C4" w14:textId="77777777" w:rsidR="00022C6F" w:rsidRDefault="00452215">
      <w:pPr>
        <w:numPr>
          <w:ilvl w:val="0"/>
          <w:numId w:val="2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2D50E9">
        <w:rPr>
          <w:rFonts w:asciiTheme="majorHAnsi" w:hAnsiTheme="majorHAnsi"/>
          <w:color w:val="000000"/>
        </w:rPr>
        <w:t xml:space="preserve">Waterborne navigation, aviation, and off-road are unlikely to occur or be significant in most </w:t>
      </w:r>
      <w:r w:rsidRPr="00976B74">
        <w:rPr>
          <w:rFonts w:asciiTheme="majorHAnsi" w:hAnsiTheme="majorHAnsi"/>
          <w:color w:val="000000"/>
        </w:rPr>
        <w:t xml:space="preserve">cities. </w:t>
      </w:r>
      <w:r w:rsidRPr="00B72FF1">
        <w:rPr>
          <w:rFonts w:asciiTheme="majorHAnsi" w:hAnsiTheme="majorHAnsi"/>
          <w:color w:val="000000"/>
        </w:rPr>
        <w:t xml:space="preserve">Where </w:t>
      </w:r>
      <w:r w:rsidR="00F35229" w:rsidRPr="00197E9C">
        <w:rPr>
          <w:rFonts w:asciiTheme="majorHAnsi" w:hAnsiTheme="majorHAnsi"/>
          <w:color w:val="000000"/>
        </w:rPr>
        <w:t>they</w:t>
      </w:r>
      <w:r w:rsidRPr="003A7BEC">
        <w:rPr>
          <w:rFonts w:asciiTheme="majorHAnsi" w:hAnsiTheme="majorHAnsi"/>
          <w:color w:val="000000"/>
        </w:rPr>
        <w:t xml:space="preserve"> a</w:t>
      </w:r>
      <w:r w:rsidR="00F35229" w:rsidRPr="003A7BEC">
        <w:rPr>
          <w:rFonts w:asciiTheme="majorHAnsi" w:hAnsiTheme="majorHAnsi"/>
          <w:color w:val="000000"/>
        </w:rPr>
        <w:t>re</w:t>
      </w:r>
      <w:r w:rsidRPr="003A7BEC">
        <w:rPr>
          <w:rFonts w:asciiTheme="majorHAnsi" w:hAnsiTheme="majorHAnsi"/>
          <w:color w:val="000000"/>
        </w:rPr>
        <w:t xml:space="preserve"> significant source</w:t>
      </w:r>
      <w:r w:rsidR="00F35229" w:rsidRPr="003A7BEC">
        <w:rPr>
          <w:rFonts w:asciiTheme="majorHAnsi" w:hAnsiTheme="majorHAnsi"/>
          <w:color w:val="000000"/>
        </w:rPr>
        <w:t xml:space="preserve">s, GHG emissions </w:t>
      </w:r>
      <w:r w:rsidR="00F35229" w:rsidRPr="00976B74">
        <w:rPr>
          <w:rFonts w:asciiTheme="majorHAnsi" w:hAnsiTheme="majorHAnsi"/>
          <w:b/>
          <w:bCs/>
          <w:color w:val="000000"/>
        </w:rPr>
        <w:t>shall</w:t>
      </w:r>
      <w:r w:rsidRPr="00976B74">
        <w:rPr>
          <w:rFonts w:asciiTheme="majorHAnsi" w:hAnsiTheme="majorHAnsi"/>
          <w:color w:val="000000"/>
        </w:rPr>
        <w:t xml:space="preserve"> be included</w:t>
      </w:r>
      <w:r w:rsidR="00C90F27" w:rsidRPr="00976B74">
        <w:rPr>
          <w:rFonts w:asciiTheme="majorHAnsi" w:hAnsiTheme="majorHAnsi"/>
          <w:color w:val="000000"/>
        </w:rPr>
        <w:t>, unless they occur as part of transboundary journeys, in which case the notation key "Included Elsewhere" (IE) may be used (see below for more details)</w:t>
      </w:r>
      <w:r w:rsidRPr="00976B74">
        <w:rPr>
          <w:rFonts w:asciiTheme="majorHAnsi" w:hAnsiTheme="majorHAnsi"/>
          <w:color w:val="000000"/>
        </w:rPr>
        <w:t>.</w:t>
      </w:r>
      <w:r w:rsidR="00E820D7" w:rsidRPr="00976B74">
        <w:rPr>
          <w:rFonts w:asciiTheme="majorHAnsi" w:hAnsiTheme="majorHAnsi"/>
          <w:color w:val="000000"/>
        </w:rPr>
        <w:t xml:space="preserve"> Where these sources do not occur, the notation key “Not Occurring” (NO) </w:t>
      </w:r>
      <w:r w:rsidR="00E820D7" w:rsidRPr="00976B74">
        <w:rPr>
          <w:rFonts w:asciiTheme="majorHAnsi" w:hAnsiTheme="majorHAnsi"/>
          <w:b/>
          <w:bCs/>
          <w:color w:val="000000"/>
        </w:rPr>
        <w:t xml:space="preserve">shall </w:t>
      </w:r>
      <w:r w:rsidR="00E820D7" w:rsidRPr="00976B74">
        <w:rPr>
          <w:rFonts w:asciiTheme="majorHAnsi" w:hAnsiTheme="majorHAnsi"/>
          <w:color w:val="000000"/>
        </w:rPr>
        <w:t>be used</w:t>
      </w:r>
      <w:r w:rsidR="00976B74">
        <w:rPr>
          <w:rFonts w:asciiTheme="majorHAnsi" w:hAnsiTheme="majorHAnsi"/>
          <w:color w:val="000000"/>
        </w:rPr>
        <w:t>;</w:t>
      </w:r>
      <w:r w:rsidR="00E820D7" w:rsidRPr="00976B74">
        <w:rPr>
          <w:rFonts w:asciiTheme="majorHAnsi" w:hAnsiTheme="majorHAnsi"/>
          <w:color w:val="000000"/>
        </w:rPr>
        <w:t xml:space="preserve"> where they are not significant, the notation key </w:t>
      </w:r>
      <w:r w:rsidR="00022C6F">
        <w:rPr>
          <w:rFonts w:asciiTheme="majorHAnsi" w:hAnsiTheme="majorHAnsi"/>
          <w:color w:val="000000"/>
        </w:rPr>
        <w:t>“</w:t>
      </w:r>
      <w:r w:rsidR="00E820D7" w:rsidRPr="00976B74">
        <w:rPr>
          <w:rFonts w:asciiTheme="majorHAnsi" w:hAnsiTheme="majorHAnsi"/>
          <w:color w:val="000000"/>
        </w:rPr>
        <w:t>NO</w:t>
      </w:r>
      <w:r w:rsidR="00022C6F">
        <w:rPr>
          <w:rFonts w:asciiTheme="majorHAnsi" w:hAnsiTheme="majorHAnsi"/>
          <w:color w:val="000000"/>
        </w:rPr>
        <w:t>”</w:t>
      </w:r>
      <w:r w:rsidR="00E820D7" w:rsidRPr="00976B74">
        <w:rPr>
          <w:rFonts w:asciiTheme="majorHAnsi" w:hAnsiTheme="majorHAnsi"/>
          <w:color w:val="000000"/>
        </w:rPr>
        <w:t xml:space="preserve"> </w:t>
      </w:r>
      <w:r w:rsidR="00E820D7" w:rsidRPr="00976B74">
        <w:rPr>
          <w:rFonts w:asciiTheme="majorHAnsi" w:hAnsiTheme="majorHAnsi"/>
          <w:b/>
          <w:bCs/>
          <w:color w:val="000000"/>
        </w:rPr>
        <w:t>may</w:t>
      </w:r>
      <w:r w:rsidR="00E820D7" w:rsidRPr="00976B74">
        <w:rPr>
          <w:rFonts w:asciiTheme="majorHAnsi" w:hAnsiTheme="majorHAnsi"/>
          <w:color w:val="000000"/>
        </w:rPr>
        <w:t xml:space="preserve"> be used (see section 3.</w:t>
      </w:r>
      <w:r w:rsidR="00022C6F">
        <w:rPr>
          <w:rFonts w:asciiTheme="majorHAnsi" w:hAnsiTheme="majorHAnsi"/>
          <w:color w:val="000000"/>
        </w:rPr>
        <w:t>2</w:t>
      </w:r>
      <w:r w:rsidR="00E820D7" w:rsidRPr="00976B74">
        <w:rPr>
          <w:rFonts w:asciiTheme="majorHAnsi" w:hAnsiTheme="majorHAnsi"/>
          <w:color w:val="000000"/>
        </w:rPr>
        <w:t>. for more details on the notation keys).</w:t>
      </w:r>
      <w:r w:rsidR="00022C6F">
        <w:rPr>
          <w:rFonts w:asciiTheme="majorHAnsi" w:hAnsiTheme="majorHAnsi"/>
          <w:color w:val="000000"/>
        </w:rPr>
        <w:t xml:space="preserve"> </w:t>
      </w:r>
    </w:p>
    <w:p w14:paraId="6BD4DC98" w14:textId="23D44B93" w:rsidR="00191AD6" w:rsidRPr="000602BB" w:rsidRDefault="00452215">
      <w:pPr>
        <w:numPr>
          <w:ilvl w:val="0"/>
          <w:numId w:val="2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Local governments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further disaggregate road and rail travel by fleet type: municipal fleets, public, private and commercial transport.</w:t>
      </w:r>
    </w:p>
    <w:p w14:paraId="601F9752" w14:textId="2FC2DBE4" w:rsidR="00191AD6" w:rsidRDefault="00452215">
      <w:pPr>
        <w:numPr>
          <w:ilvl w:val="0"/>
          <w:numId w:val="2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Local governments </w:t>
      </w:r>
      <w:r w:rsidRPr="000602BB">
        <w:rPr>
          <w:rFonts w:asciiTheme="majorHAnsi" w:hAnsiTheme="majorHAnsi"/>
          <w:b/>
          <w:color w:val="000000"/>
        </w:rPr>
        <w:t>may</w:t>
      </w:r>
      <w:r w:rsidRPr="000602BB">
        <w:rPr>
          <w:rFonts w:asciiTheme="majorHAnsi" w:hAnsiTheme="majorHAnsi"/>
          <w:color w:val="000000"/>
        </w:rPr>
        <w:t xml:space="preserve"> use the fuel sales, geographic (territorial), resident activity and city-induced methodologies</w:t>
      </w:r>
      <w:r w:rsidRPr="000602BB">
        <w:rPr>
          <w:rFonts w:asciiTheme="majorHAnsi" w:hAnsiTheme="majorHAnsi"/>
          <w:color w:val="000000"/>
          <w:vertAlign w:val="superscript"/>
        </w:rPr>
        <w:footnoteReference w:id="7"/>
      </w:r>
      <w:r w:rsidRPr="000602BB">
        <w:rPr>
          <w:rFonts w:asciiTheme="majorHAnsi" w:hAnsiTheme="majorHAnsi"/>
          <w:color w:val="000000"/>
        </w:rPr>
        <w:t xml:space="preserve"> to estimate activity. They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identify the methodology used.</w:t>
      </w:r>
      <w:r w:rsidR="00D30894">
        <w:rPr>
          <w:rFonts w:asciiTheme="majorHAnsi" w:hAnsiTheme="majorHAnsi"/>
          <w:color w:val="000000"/>
        </w:rPr>
        <w:t xml:space="preserve"> Depending on the methodology used, </w:t>
      </w:r>
      <w:r w:rsidR="000E247A">
        <w:rPr>
          <w:rFonts w:asciiTheme="majorHAnsi" w:hAnsiTheme="majorHAnsi"/>
          <w:color w:val="000000"/>
        </w:rPr>
        <w:t xml:space="preserve">data availability, </w:t>
      </w:r>
      <w:r w:rsidR="00D30894">
        <w:rPr>
          <w:rFonts w:asciiTheme="majorHAnsi" w:hAnsiTheme="majorHAnsi"/>
          <w:color w:val="000000"/>
        </w:rPr>
        <w:t xml:space="preserve">and where such activities occur, local governments </w:t>
      </w:r>
      <w:r w:rsidR="00D30894" w:rsidRPr="00E335D4">
        <w:rPr>
          <w:rFonts w:asciiTheme="majorHAnsi" w:hAnsiTheme="majorHAnsi"/>
          <w:b/>
          <w:color w:val="000000"/>
        </w:rPr>
        <w:t>may</w:t>
      </w:r>
      <w:r w:rsidR="00D30894">
        <w:rPr>
          <w:rFonts w:asciiTheme="majorHAnsi" w:hAnsiTheme="majorHAnsi"/>
          <w:color w:val="000000"/>
        </w:rPr>
        <w:t xml:space="preserve"> choose to report GHG emissions from the inboundary component of domestic and/or international waterborne navigation and aviation (</w:t>
      </w:r>
      <w:r w:rsidR="000E247A">
        <w:rPr>
          <w:rFonts w:asciiTheme="majorHAnsi" w:hAnsiTheme="majorHAnsi"/>
          <w:color w:val="000000"/>
        </w:rPr>
        <w:t>such as the landing and take-off cycle for aviation)</w:t>
      </w:r>
      <w:r w:rsidR="00D30894">
        <w:rPr>
          <w:rFonts w:asciiTheme="majorHAnsi" w:hAnsiTheme="majorHAnsi"/>
          <w:color w:val="000000"/>
        </w:rPr>
        <w:t>, or assume</w:t>
      </w:r>
      <w:r w:rsidR="000E247A">
        <w:rPr>
          <w:rFonts w:asciiTheme="majorHAnsi" w:hAnsiTheme="majorHAnsi"/>
          <w:color w:val="000000"/>
        </w:rPr>
        <w:t xml:space="preserve"> these </w:t>
      </w:r>
      <w:r w:rsidR="00022C6F">
        <w:rPr>
          <w:rFonts w:asciiTheme="majorHAnsi" w:hAnsiTheme="majorHAnsi"/>
          <w:color w:val="000000"/>
        </w:rPr>
        <w:t xml:space="preserve">are </w:t>
      </w:r>
      <w:r w:rsidR="000E247A">
        <w:rPr>
          <w:rFonts w:asciiTheme="majorHAnsi" w:hAnsiTheme="majorHAnsi"/>
          <w:color w:val="000000"/>
        </w:rPr>
        <w:t xml:space="preserve">all out of boundary emissions and use the notation key </w:t>
      </w:r>
      <w:r w:rsidR="00750008">
        <w:rPr>
          <w:rFonts w:asciiTheme="majorHAnsi" w:hAnsiTheme="majorHAnsi"/>
          <w:color w:val="000000"/>
        </w:rPr>
        <w:t>“Included Elsewhere” (</w:t>
      </w:r>
      <w:r w:rsidR="000E247A">
        <w:rPr>
          <w:rFonts w:asciiTheme="majorHAnsi" w:hAnsiTheme="majorHAnsi"/>
          <w:color w:val="000000"/>
        </w:rPr>
        <w:t>IE</w:t>
      </w:r>
      <w:r w:rsidR="00750008">
        <w:rPr>
          <w:rFonts w:asciiTheme="majorHAnsi" w:hAnsiTheme="majorHAnsi"/>
          <w:color w:val="000000"/>
        </w:rPr>
        <w:t>, see section 3.</w:t>
      </w:r>
      <w:r w:rsidR="00976B74">
        <w:rPr>
          <w:rFonts w:asciiTheme="majorHAnsi" w:hAnsiTheme="majorHAnsi"/>
          <w:color w:val="000000"/>
        </w:rPr>
        <w:t>2</w:t>
      </w:r>
      <w:r w:rsidR="00750008">
        <w:rPr>
          <w:rFonts w:asciiTheme="majorHAnsi" w:hAnsiTheme="majorHAnsi"/>
          <w:color w:val="000000"/>
        </w:rPr>
        <w:t>)</w:t>
      </w:r>
      <w:r w:rsidR="000E247A">
        <w:rPr>
          <w:rFonts w:asciiTheme="majorHAnsi" w:hAnsiTheme="majorHAnsi"/>
          <w:color w:val="000000"/>
        </w:rPr>
        <w:t xml:space="preserve"> instead.</w:t>
      </w:r>
    </w:p>
    <w:p w14:paraId="1DF9D809" w14:textId="617A80EF" w:rsidR="00B14511" w:rsidRPr="002D50E9" w:rsidRDefault="000E247A" w:rsidP="00B14511">
      <w:pPr>
        <w:jc w:val="both"/>
        <w:rPr>
          <w:rFonts w:asciiTheme="majorHAnsi" w:hAnsiTheme="majorHAnsi"/>
        </w:rPr>
      </w:pPr>
      <w:r w:rsidRPr="00E335D4">
        <w:rPr>
          <w:rFonts w:asciiTheme="majorHAnsi" w:hAnsiTheme="majorHAnsi"/>
        </w:rPr>
        <w:t xml:space="preserve">Further guidance on the use and application of </w:t>
      </w:r>
      <w:r>
        <w:rPr>
          <w:rFonts w:asciiTheme="majorHAnsi" w:hAnsiTheme="majorHAnsi"/>
        </w:rPr>
        <w:t xml:space="preserve">transport system </w:t>
      </w:r>
      <w:r w:rsidR="000A2E51">
        <w:rPr>
          <w:rFonts w:asciiTheme="majorHAnsi" w:hAnsiTheme="majorHAnsi"/>
        </w:rPr>
        <w:t>data collection</w:t>
      </w:r>
      <w:r>
        <w:rPr>
          <w:rFonts w:asciiTheme="majorHAnsi" w:hAnsiTheme="majorHAnsi"/>
        </w:rPr>
        <w:t xml:space="preserve"> methodologies</w:t>
      </w:r>
      <w:r w:rsidRPr="00E335D4">
        <w:rPr>
          <w:rFonts w:asciiTheme="majorHAnsi" w:hAnsiTheme="majorHAnsi"/>
        </w:rPr>
        <w:t xml:space="preserve"> will be provided </w:t>
      </w:r>
      <w:r w:rsidR="00E820D7">
        <w:rPr>
          <w:rFonts w:asciiTheme="majorHAnsi" w:hAnsiTheme="majorHAnsi"/>
        </w:rPr>
        <w:t>in the implementation phase</w:t>
      </w:r>
      <w:r w:rsidRPr="00E335D4">
        <w:rPr>
          <w:rFonts w:asciiTheme="majorHAnsi" w:hAnsiTheme="majorHAnsi"/>
        </w:rPr>
        <w:t>.</w:t>
      </w:r>
    </w:p>
    <w:p w14:paraId="36FD1867" w14:textId="77777777" w:rsidR="00191AD6" w:rsidRPr="000602BB" w:rsidRDefault="00452215">
      <w:pPr>
        <w:jc w:val="both"/>
        <w:rPr>
          <w:rFonts w:asciiTheme="majorHAnsi" w:hAnsiTheme="majorHAnsi"/>
          <w:b/>
        </w:rPr>
      </w:pPr>
      <w:r w:rsidRPr="000602BB">
        <w:rPr>
          <w:rFonts w:asciiTheme="majorHAnsi" w:hAnsiTheme="majorHAnsi"/>
          <w:b/>
        </w:rPr>
        <w:t>(3) Waste</w:t>
      </w:r>
    </w:p>
    <w:p w14:paraId="269E0BAD" w14:textId="7A139CBD" w:rsidR="00191AD6" w:rsidRPr="000602BB" w:rsidRDefault="00452215">
      <w:pPr>
        <w:numPr>
          <w:ilvl w:val="0"/>
          <w:numId w:val="2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All GHG emissions from disposal and treatment of waste </w:t>
      </w:r>
      <w:r w:rsidR="00F35229">
        <w:rPr>
          <w:rFonts w:asciiTheme="majorHAnsi" w:hAnsiTheme="majorHAnsi"/>
          <w:color w:val="000000"/>
        </w:rPr>
        <w:t xml:space="preserve">and wastewater </w:t>
      </w:r>
      <w:r w:rsidRPr="000602BB">
        <w:rPr>
          <w:rFonts w:asciiTheme="majorHAnsi" w:hAnsiTheme="majorHAnsi"/>
          <w:color w:val="000000"/>
        </w:rPr>
        <w:t xml:space="preserve">generated within the city boundary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reported and disaggregated by treatment type.</w:t>
      </w:r>
    </w:p>
    <w:p w14:paraId="1832A0AD" w14:textId="0B8CFDE5" w:rsidR="00191AD6" w:rsidRPr="000602BB" w:rsidRDefault="00452215">
      <w:pPr>
        <w:numPr>
          <w:ilvl w:val="0"/>
          <w:numId w:val="2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Where waste is used for energy generation</w:t>
      </w:r>
      <w:r w:rsidRPr="000602BB">
        <w:rPr>
          <w:rFonts w:asciiTheme="majorHAnsi" w:hAnsiTheme="majorHAnsi"/>
          <w:color w:val="000000"/>
          <w:vertAlign w:val="superscript"/>
        </w:rPr>
        <w:footnoteReference w:id="8"/>
      </w:r>
      <w:r w:rsidRPr="000602BB">
        <w:rPr>
          <w:rFonts w:asciiTheme="majorHAnsi" w:hAnsiTheme="majorHAnsi"/>
          <w:color w:val="000000"/>
        </w:rPr>
        <w:t xml:space="preserve">, </w:t>
      </w:r>
      <w:r w:rsidR="00F35229">
        <w:rPr>
          <w:rFonts w:asciiTheme="majorHAnsi" w:hAnsiTheme="majorHAnsi"/>
          <w:color w:val="000000"/>
        </w:rPr>
        <w:t xml:space="preserve">GHG </w:t>
      </w:r>
      <w:r w:rsidRPr="000602BB">
        <w:rPr>
          <w:rFonts w:asciiTheme="majorHAnsi" w:hAnsiTheme="majorHAnsi"/>
          <w:color w:val="000000"/>
        </w:rPr>
        <w:t xml:space="preserve">emissions do not need to be reported. Instead, the notation key IE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be used (see </w:t>
      </w:r>
      <w:r w:rsidRPr="000602BB">
        <w:rPr>
          <w:rFonts w:asciiTheme="majorHAnsi" w:hAnsiTheme="majorHAnsi"/>
          <w:b/>
          <w:color w:val="000000"/>
        </w:rPr>
        <w:t>section 3.</w:t>
      </w:r>
      <w:r w:rsidR="00B671DB">
        <w:rPr>
          <w:rFonts w:asciiTheme="majorHAnsi" w:hAnsiTheme="majorHAnsi"/>
          <w:b/>
        </w:rPr>
        <w:t>2</w:t>
      </w:r>
      <w:r w:rsidRPr="000602BB">
        <w:rPr>
          <w:rFonts w:asciiTheme="majorHAnsi" w:hAnsiTheme="majorHAnsi"/>
          <w:b/>
        </w:rPr>
        <w:t>.</w:t>
      </w:r>
      <w:r w:rsidRPr="000602BB">
        <w:rPr>
          <w:rFonts w:asciiTheme="majorHAnsi" w:hAnsiTheme="majorHAnsi"/>
          <w:color w:val="000000"/>
        </w:rPr>
        <w:t xml:space="preserve"> for more details on the notation keys).</w:t>
      </w:r>
      <w:r w:rsidR="00F35229">
        <w:rPr>
          <w:rFonts w:asciiTheme="majorHAnsi" w:hAnsiTheme="majorHAnsi"/>
          <w:color w:val="000000"/>
        </w:rPr>
        <w:t xml:space="preserve"> Inste</w:t>
      </w:r>
      <w:r w:rsidR="00F35229" w:rsidRPr="0091786A">
        <w:rPr>
          <w:rFonts w:asciiTheme="majorHAnsi" w:hAnsiTheme="majorHAnsi"/>
          <w:color w:val="000000"/>
        </w:rPr>
        <w:t>ad, these GHG emi</w:t>
      </w:r>
      <w:r w:rsidR="00022C6F">
        <w:rPr>
          <w:rFonts w:asciiTheme="majorHAnsi" w:hAnsiTheme="majorHAnsi"/>
          <w:color w:val="000000"/>
        </w:rPr>
        <w:t>ssions will be captured in the</w:t>
      </w:r>
      <w:r w:rsidR="00F35229" w:rsidRPr="0091786A">
        <w:rPr>
          <w:rFonts w:asciiTheme="majorHAnsi" w:hAnsiTheme="majorHAnsi"/>
          <w:color w:val="000000"/>
        </w:rPr>
        <w:t xml:space="preserve"> inventory through the use of heat or electricity generated from the treatment of waste.</w:t>
      </w:r>
    </w:p>
    <w:p w14:paraId="694AC27E" w14:textId="3F7A4480" w:rsidR="00191AD6" w:rsidRPr="000602BB" w:rsidRDefault="00452215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9" w:name="_lnxbz9" w:colFirst="0" w:colLast="0"/>
      <w:bookmarkStart w:id="10" w:name="_Toc512239433"/>
      <w:bookmarkStart w:id="11" w:name="_Toc520794127"/>
      <w:bookmarkEnd w:id="9"/>
      <w:r w:rsidRPr="000602BB">
        <w:rPr>
          <w:rFonts w:asciiTheme="majorHAnsi" w:eastAsia="Calibri" w:hAnsiTheme="majorHAnsi" w:cs="Calibri"/>
          <w:sz w:val="22"/>
          <w:szCs w:val="22"/>
        </w:rPr>
        <w:lastRenderedPageBreak/>
        <w:t>3.</w:t>
      </w:r>
      <w:r w:rsidR="00976B74">
        <w:rPr>
          <w:rFonts w:asciiTheme="majorHAnsi" w:eastAsia="Calibri" w:hAnsiTheme="majorHAnsi" w:cs="Calibri"/>
          <w:sz w:val="22"/>
          <w:szCs w:val="22"/>
        </w:rPr>
        <w:t>4</w:t>
      </w:r>
      <w:r w:rsidRPr="000602BB">
        <w:rPr>
          <w:rFonts w:asciiTheme="majorHAnsi" w:eastAsia="Calibri" w:hAnsiTheme="majorHAnsi" w:cs="Calibri"/>
          <w:sz w:val="22"/>
          <w:szCs w:val="22"/>
        </w:rPr>
        <w:t>. Energy generation</w:t>
      </w:r>
      <w:bookmarkEnd w:id="10"/>
      <w:bookmarkEnd w:id="11"/>
    </w:p>
    <w:p w14:paraId="74145E12" w14:textId="77777777" w:rsidR="00191AD6" w:rsidRPr="000602BB" w:rsidRDefault="00452215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Additionally, local governments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report GHG emissions from energy generation activities. To avoid double counting, these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not form part of the GHG emissions inventory total, and will be reported under an “Energy Generation” sector, where:</w:t>
      </w:r>
    </w:p>
    <w:p w14:paraId="4C69D3DF" w14:textId="77777777" w:rsidR="00191AD6" w:rsidRPr="000602BB" w:rsidRDefault="00452215">
      <w:pPr>
        <w:numPr>
          <w:ilvl w:val="0"/>
          <w:numId w:val="3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All GHG emissions from generation of grid-supplied energy within the city boundary, and all GHG emissions from generation of grid-supplied energy by facilities owned (full or partial) by the local government outside the city boundary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reported and disaggregated by electricity-only, combined heat and power (CHP), and heat/cold production plants.</w:t>
      </w:r>
    </w:p>
    <w:p w14:paraId="12F1EB41" w14:textId="77777777" w:rsidR="00191AD6" w:rsidRPr="000602BB" w:rsidRDefault="00452215">
      <w:pPr>
        <w:numPr>
          <w:ilvl w:val="0"/>
          <w:numId w:val="3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GHG emissions from sources covered by a regional or national emissions trading scheme (ETS), or similar,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be identified.</w:t>
      </w:r>
    </w:p>
    <w:p w14:paraId="65DADCE6" w14:textId="77777777" w:rsidR="00191AD6" w:rsidRPr="000602BB" w:rsidRDefault="00452215">
      <w:pPr>
        <w:numPr>
          <w:ilvl w:val="0"/>
          <w:numId w:val="3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In addition, local governments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report all activity data for distributed </w:t>
      </w:r>
      <w:r w:rsidRPr="000602BB">
        <w:rPr>
          <w:rFonts w:asciiTheme="majorHAnsi" w:hAnsiTheme="majorHAnsi"/>
        </w:rPr>
        <w:t xml:space="preserve">local </w:t>
      </w:r>
      <w:r w:rsidRPr="000602BB">
        <w:rPr>
          <w:rFonts w:asciiTheme="majorHAnsi" w:hAnsiTheme="majorHAnsi"/>
          <w:color w:val="000000"/>
        </w:rPr>
        <w:t>renewable energy generation.</w:t>
      </w:r>
    </w:p>
    <w:p w14:paraId="18595DEA" w14:textId="50A2AF73" w:rsidR="00191AD6" w:rsidRPr="000602BB" w:rsidRDefault="00452215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12" w:name="_35nkun2" w:colFirst="0" w:colLast="0"/>
      <w:bookmarkStart w:id="13" w:name="_Toc512239434"/>
      <w:bookmarkStart w:id="14" w:name="_Toc520794128"/>
      <w:bookmarkEnd w:id="12"/>
      <w:r w:rsidRPr="000602BB">
        <w:rPr>
          <w:rFonts w:asciiTheme="majorHAnsi" w:eastAsia="Calibri" w:hAnsiTheme="majorHAnsi" w:cs="Calibri"/>
          <w:sz w:val="22"/>
          <w:szCs w:val="22"/>
        </w:rPr>
        <w:t>3.</w:t>
      </w:r>
      <w:r w:rsidR="00976B74">
        <w:rPr>
          <w:rFonts w:asciiTheme="majorHAnsi" w:eastAsia="Calibri" w:hAnsiTheme="majorHAnsi" w:cs="Calibri"/>
          <w:sz w:val="22"/>
          <w:szCs w:val="22"/>
        </w:rPr>
        <w:t>5</w:t>
      </w:r>
      <w:r w:rsidRPr="000602BB">
        <w:rPr>
          <w:rFonts w:asciiTheme="majorHAnsi" w:eastAsia="Calibri" w:hAnsiTheme="majorHAnsi" w:cs="Calibri"/>
          <w:sz w:val="22"/>
          <w:szCs w:val="22"/>
        </w:rPr>
        <w:t>. Activity Data and Emission Factors</w:t>
      </w:r>
      <w:bookmarkEnd w:id="13"/>
      <w:bookmarkEnd w:id="14"/>
    </w:p>
    <w:p w14:paraId="3774A53D" w14:textId="77777777" w:rsidR="00191AD6" w:rsidRPr="000602BB" w:rsidRDefault="00452215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>In addition to GHG data, the reporting framework requires local governments to report activity data and emission factors as follow:</w:t>
      </w:r>
    </w:p>
    <w:p w14:paraId="10F3D6BA" w14:textId="7F8B527F" w:rsidR="00191AD6" w:rsidRPr="000602BB" w:rsidRDefault="00452215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Local governments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report activity data </w:t>
      </w:r>
      <w:r w:rsidRPr="000602BB">
        <w:rPr>
          <w:rFonts w:asciiTheme="majorHAnsi" w:hAnsiTheme="majorHAnsi"/>
        </w:rPr>
        <w:t>(in MWh, PJ, etc.)</w:t>
      </w:r>
      <w:r w:rsidRPr="000602BB">
        <w:rPr>
          <w:rFonts w:asciiTheme="majorHAnsi" w:hAnsiTheme="majorHAnsi"/>
          <w:color w:val="0070C0"/>
        </w:rPr>
        <w:t xml:space="preserve"> </w:t>
      </w:r>
      <w:r w:rsidRPr="000602BB">
        <w:rPr>
          <w:rFonts w:asciiTheme="majorHAnsi" w:hAnsiTheme="majorHAnsi"/>
          <w:color w:val="000000"/>
        </w:rPr>
        <w:t>and emission factors for all sources of emiss</w:t>
      </w:r>
      <w:r w:rsidR="0037562B">
        <w:rPr>
          <w:rFonts w:asciiTheme="majorHAnsi" w:hAnsiTheme="majorHAnsi"/>
          <w:color w:val="000000"/>
        </w:rPr>
        <w:t>ions, disaggregated by activity/</w:t>
      </w:r>
      <w:r w:rsidRPr="000602BB">
        <w:rPr>
          <w:rFonts w:asciiTheme="majorHAnsi" w:hAnsiTheme="majorHAnsi"/>
          <w:color w:val="000000"/>
        </w:rPr>
        <w:t>fuel type.</w:t>
      </w:r>
    </w:p>
    <w:p w14:paraId="34F31B83" w14:textId="7BC141A3" w:rsidR="00F35229" w:rsidRPr="00F35229" w:rsidRDefault="00452215" w:rsidP="00E335D4">
      <w:pPr>
        <w:numPr>
          <w:ilvl w:val="0"/>
          <w:numId w:val="5"/>
        </w:numPr>
        <w:jc w:val="both"/>
        <w:rPr>
          <w:rFonts w:asciiTheme="majorHAnsi" w:hAnsiTheme="majorHAnsi"/>
          <w:color w:val="000000"/>
        </w:rPr>
      </w:pPr>
      <w:r w:rsidRPr="00F35229">
        <w:rPr>
          <w:rFonts w:asciiTheme="majorHAnsi" w:hAnsiTheme="majorHAnsi"/>
          <w:color w:val="000000"/>
        </w:rPr>
        <w:t xml:space="preserve">Local governments </w:t>
      </w:r>
      <w:r w:rsidRPr="00F35229">
        <w:rPr>
          <w:rFonts w:asciiTheme="majorHAnsi" w:hAnsiTheme="majorHAnsi"/>
          <w:b/>
          <w:color w:val="000000"/>
        </w:rPr>
        <w:t>should</w:t>
      </w:r>
      <w:r w:rsidRPr="00F35229">
        <w:rPr>
          <w:rFonts w:asciiTheme="majorHAnsi" w:hAnsiTheme="majorHAnsi"/>
          <w:color w:val="000000"/>
        </w:rPr>
        <w:t xml:space="preserve"> use activity-based emission factors (also referred to as IPCC emission factors), though </w:t>
      </w:r>
      <w:r w:rsidRPr="009B0035">
        <w:rPr>
          <w:rFonts w:asciiTheme="majorHAnsi" w:hAnsiTheme="majorHAnsi"/>
          <w:b/>
          <w:color w:val="000000"/>
        </w:rPr>
        <w:t>may</w:t>
      </w:r>
      <w:r w:rsidRPr="009B0035">
        <w:rPr>
          <w:rFonts w:asciiTheme="majorHAnsi" w:hAnsiTheme="majorHAnsi"/>
          <w:color w:val="000000"/>
        </w:rPr>
        <w:t xml:space="preserve"> use Life-Cycle Analysis (LCA) based emission factors where this is required for GHG emissions reporting at the national level. Where local governments use LCA emission fac</w:t>
      </w:r>
      <w:r w:rsidRPr="00F35229">
        <w:rPr>
          <w:rFonts w:asciiTheme="majorHAnsi" w:hAnsiTheme="majorHAnsi"/>
          <w:color w:val="000000"/>
        </w:rPr>
        <w:t xml:space="preserve">tors, they </w:t>
      </w:r>
      <w:r w:rsidRPr="00F35229">
        <w:rPr>
          <w:rFonts w:asciiTheme="majorHAnsi" w:hAnsiTheme="majorHAnsi"/>
          <w:b/>
          <w:color w:val="000000"/>
        </w:rPr>
        <w:t>shall</w:t>
      </w:r>
      <w:r w:rsidRPr="00F35229">
        <w:rPr>
          <w:rFonts w:asciiTheme="majorHAnsi" w:hAnsiTheme="majorHAnsi"/>
          <w:color w:val="000000"/>
        </w:rPr>
        <w:t xml:space="preserve"> also consent to GCoM recalculating </w:t>
      </w:r>
      <w:r w:rsidR="00F35229">
        <w:rPr>
          <w:rFonts w:asciiTheme="majorHAnsi" w:hAnsiTheme="majorHAnsi"/>
          <w:color w:val="000000"/>
        </w:rPr>
        <w:t xml:space="preserve">and reporting </w:t>
      </w:r>
      <w:r w:rsidRPr="00F35229">
        <w:rPr>
          <w:rFonts w:asciiTheme="majorHAnsi" w:hAnsiTheme="majorHAnsi"/>
          <w:color w:val="000000"/>
        </w:rPr>
        <w:t xml:space="preserve">their inventory using </w:t>
      </w:r>
      <w:r w:rsidR="00F35229">
        <w:rPr>
          <w:rFonts w:asciiTheme="majorHAnsi" w:hAnsiTheme="majorHAnsi"/>
          <w:color w:val="000000"/>
        </w:rPr>
        <w:t xml:space="preserve">standard </w:t>
      </w:r>
      <w:r w:rsidRPr="00F35229">
        <w:rPr>
          <w:rFonts w:asciiTheme="majorHAnsi" w:hAnsiTheme="majorHAnsi"/>
          <w:color w:val="000000"/>
        </w:rPr>
        <w:t xml:space="preserve">activity-based emission factors </w:t>
      </w:r>
      <w:r w:rsidR="00F35229">
        <w:rPr>
          <w:rFonts w:asciiTheme="majorHAnsi" w:hAnsiTheme="majorHAnsi"/>
          <w:color w:val="000000"/>
        </w:rPr>
        <w:t>to enable the comparability and</w:t>
      </w:r>
      <w:r w:rsidRPr="00F35229">
        <w:rPr>
          <w:rFonts w:asciiTheme="majorHAnsi" w:hAnsiTheme="majorHAnsi"/>
          <w:color w:val="000000"/>
        </w:rPr>
        <w:t xml:space="preserve"> aggregati</w:t>
      </w:r>
      <w:r w:rsidR="00F35229">
        <w:rPr>
          <w:rFonts w:asciiTheme="majorHAnsi" w:hAnsiTheme="majorHAnsi"/>
          <w:color w:val="000000"/>
        </w:rPr>
        <w:t>o</w:t>
      </w:r>
      <w:r w:rsidRPr="00F35229">
        <w:rPr>
          <w:rFonts w:asciiTheme="majorHAnsi" w:hAnsiTheme="majorHAnsi"/>
          <w:color w:val="000000"/>
        </w:rPr>
        <w:t>n</w:t>
      </w:r>
      <w:r w:rsidR="00F35229">
        <w:rPr>
          <w:rFonts w:asciiTheme="majorHAnsi" w:hAnsiTheme="majorHAnsi"/>
          <w:color w:val="000000"/>
        </w:rPr>
        <w:t xml:space="preserve"> of city</w:t>
      </w:r>
      <w:r w:rsidRPr="00F35229">
        <w:rPr>
          <w:rFonts w:asciiTheme="majorHAnsi" w:hAnsiTheme="majorHAnsi"/>
          <w:color w:val="000000"/>
        </w:rPr>
        <w:t xml:space="preserve"> inventories. </w:t>
      </w:r>
      <w:r w:rsidR="00F35229">
        <w:rPr>
          <w:rFonts w:asciiTheme="majorHAnsi" w:hAnsiTheme="majorHAnsi"/>
          <w:color w:val="000000"/>
        </w:rPr>
        <w:t xml:space="preserve">Local governments </w:t>
      </w:r>
      <w:r w:rsidR="00F35229" w:rsidRPr="0091786A">
        <w:rPr>
          <w:rFonts w:asciiTheme="majorHAnsi" w:hAnsiTheme="majorHAnsi"/>
          <w:b/>
          <w:color w:val="000000"/>
        </w:rPr>
        <w:t>shall</w:t>
      </w:r>
      <w:r w:rsidR="00F35229">
        <w:rPr>
          <w:rFonts w:asciiTheme="majorHAnsi" w:hAnsiTheme="majorHAnsi"/>
          <w:color w:val="000000"/>
        </w:rPr>
        <w:t xml:space="preserve"> specify whether the emission factor used to estimate GHG emissions from the consumption of grid-supplied electricity is locally estimated or covers a regional, national or supranational grid. In all cases, the emission factor used </w:t>
      </w:r>
      <w:r w:rsidR="00F35229" w:rsidRPr="0091786A">
        <w:rPr>
          <w:rFonts w:asciiTheme="majorHAnsi" w:hAnsiTheme="majorHAnsi"/>
          <w:b/>
          <w:color w:val="000000"/>
        </w:rPr>
        <w:t>shall</w:t>
      </w:r>
      <w:r w:rsidR="00F35229">
        <w:rPr>
          <w:rFonts w:asciiTheme="majorHAnsi" w:hAnsiTheme="majorHAnsi"/>
          <w:color w:val="000000"/>
        </w:rPr>
        <w:t xml:space="preserve"> be fully referenced.</w:t>
      </w:r>
    </w:p>
    <w:p w14:paraId="7CB02F4C" w14:textId="77777777" w:rsidR="00191AD6" w:rsidRPr="00F35229" w:rsidRDefault="00452215" w:rsidP="00F35229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F35229">
        <w:rPr>
          <w:rFonts w:asciiTheme="majorHAnsi" w:hAnsiTheme="majorHAnsi"/>
          <w:color w:val="000000"/>
        </w:rPr>
        <w:t xml:space="preserve">Local governments </w:t>
      </w:r>
      <w:r w:rsidRPr="00F35229">
        <w:rPr>
          <w:rFonts w:asciiTheme="majorHAnsi" w:hAnsiTheme="majorHAnsi"/>
          <w:b/>
          <w:color w:val="000000"/>
        </w:rPr>
        <w:t>shall</w:t>
      </w:r>
      <w:r w:rsidRPr="00F35229">
        <w:rPr>
          <w:rFonts w:asciiTheme="majorHAnsi" w:hAnsiTheme="majorHAnsi"/>
          <w:color w:val="000000"/>
        </w:rPr>
        <w:t xml:space="preserve"> account for emissions of the following gases: carbon dioxide (CO</w:t>
      </w:r>
      <w:r w:rsidRPr="00F35229">
        <w:rPr>
          <w:rFonts w:asciiTheme="majorHAnsi" w:hAnsiTheme="majorHAnsi"/>
          <w:color w:val="000000"/>
          <w:vertAlign w:val="subscript"/>
        </w:rPr>
        <w:t>2</w:t>
      </w:r>
      <w:r w:rsidRPr="00F35229">
        <w:rPr>
          <w:rFonts w:asciiTheme="majorHAnsi" w:hAnsiTheme="majorHAnsi"/>
          <w:color w:val="000000"/>
        </w:rPr>
        <w:t>), methane (CH</w:t>
      </w:r>
      <w:r w:rsidRPr="009B0035">
        <w:rPr>
          <w:rFonts w:asciiTheme="majorHAnsi" w:hAnsiTheme="majorHAnsi"/>
          <w:color w:val="000000"/>
          <w:vertAlign w:val="subscript"/>
        </w:rPr>
        <w:t>4</w:t>
      </w:r>
      <w:r w:rsidRPr="009B0035">
        <w:rPr>
          <w:rFonts w:asciiTheme="majorHAnsi" w:hAnsiTheme="majorHAnsi"/>
          <w:color w:val="000000"/>
        </w:rPr>
        <w:t>), and nitrous oxide (N</w:t>
      </w:r>
      <w:r w:rsidRPr="00D30894">
        <w:rPr>
          <w:rFonts w:asciiTheme="majorHAnsi" w:hAnsiTheme="majorHAnsi"/>
          <w:color w:val="000000"/>
          <w:vertAlign w:val="subscript"/>
        </w:rPr>
        <w:t>2</w:t>
      </w:r>
      <w:r w:rsidRPr="00D30894">
        <w:rPr>
          <w:rFonts w:asciiTheme="majorHAnsi" w:hAnsiTheme="majorHAnsi"/>
          <w:color w:val="000000"/>
        </w:rPr>
        <w:t>O)</w:t>
      </w:r>
      <w:r w:rsidRPr="000602BB">
        <w:rPr>
          <w:rFonts w:asciiTheme="majorHAnsi" w:hAnsiTheme="majorHAnsi"/>
          <w:color w:val="000000"/>
          <w:vertAlign w:val="superscript"/>
        </w:rPr>
        <w:footnoteReference w:id="9"/>
      </w:r>
      <w:r w:rsidRPr="00F35229">
        <w:rPr>
          <w:rFonts w:asciiTheme="majorHAnsi" w:hAnsiTheme="majorHAnsi"/>
          <w:color w:val="000000"/>
        </w:rPr>
        <w:t xml:space="preserve">. </w:t>
      </w:r>
    </w:p>
    <w:p w14:paraId="0E1364FB" w14:textId="77777777" w:rsidR="00191AD6" w:rsidRPr="000602BB" w:rsidRDefault="00452215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GHG emissions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reported in metric tonnes of CO</w:t>
      </w:r>
      <w:r w:rsidRPr="000602BB">
        <w:rPr>
          <w:rFonts w:asciiTheme="majorHAnsi" w:hAnsiTheme="majorHAnsi"/>
          <w:color w:val="000000"/>
          <w:vertAlign w:val="subscript"/>
        </w:rPr>
        <w:t>2</w:t>
      </w:r>
      <w:r w:rsidRPr="000602BB">
        <w:rPr>
          <w:rFonts w:asciiTheme="majorHAnsi" w:hAnsiTheme="majorHAnsi"/>
          <w:color w:val="000000"/>
        </w:rPr>
        <w:t xml:space="preserve"> equivalent (CO</w:t>
      </w:r>
      <w:r w:rsidRPr="000602BB">
        <w:rPr>
          <w:rFonts w:asciiTheme="majorHAnsi" w:hAnsiTheme="majorHAnsi"/>
          <w:color w:val="000000"/>
          <w:vertAlign w:val="subscript"/>
        </w:rPr>
        <w:t>2</w:t>
      </w:r>
      <w:r w:rsidRPr="000602BB">
        <w:rPr>
          <w:rFonts w:asciiTheme="majorHAnsi" w:hAnsiTheme="majorHAnsi"/>
          <w:color w:val="000000"/>
        </w:rPr>
        <w:t>e)</w:t>
      </w:r>
      <w:r w:rsidRPr="000602BB">
        <w:rPr>
          <w:rFonts w:asciiTheme="majorHAnsi" w:hAnsiTheme="majorHAnsi"/>
          <w:color w:val="000000"/>
          <w:vertAlign w:val="superscript"/>
        </w:rPr>
        <w:footnoteReference w:id="10"/>
      </w:r>
      <w:r w:rsidRPr="000602BB">
        <w:rPr>
          <w:rFonts w:asciiTheme="majorHAnsi" w:hAnsiTheme="majorHAnsi"/>
          <w:color w:val="000000"/>
        </w:rPr>
        <w:t xml:space="preserve">. Where possible, local governments </w:t>
      </w:r>
      <w:r w:rsidRPr="000602BB">
        <w:rPr>
          <w:rFonts w:asciiTheme="majorHAnsi" w:hAnsiTheme="majorHAnsi"/>
          <w:b/>
          <w:color w:val="000000"/>
        </w:rPr>
        <w:t>should</w:t>
      </w:r>
      <w:r w:rsidRPr="000602BB">
        <w:rPr>
          <w:rFonts w:asciiTheme="majorHAnsi" w:hAnsiTheme="majorHAnsi"/>
          <w:color w:val="000000"/>
        </w:rPr>
        <w:t xml:space="preserve"> report CO</w:t>
      </w:r>
      <w:r w:rsidRPr="000602BB">
        <w:rPr>
          <w:rFonts w:asciiTheme="majorHAnsi" w:hAnsiTheme="majorHAnsi"/>
          <w:color w:val="000000"/>
          <w:vertAlign w:val="subscript"/>
        </w:rPr>
        <w:t>2</w:t>
      </w:r>
      <w:r w:rsidRPr="000602BB">
        <w:rPr>
          <w:rFonts w:asciiTheme="majorHAnsi" w:hAnsiTheme="majorHAnsi"/>
          <w:color w:val="000000"/>
        </w:rPr>
        <w:t xml:space="preserve">e emissions by individual GHG. </w:t>
      </w:r>
    </w:p>
    <w:p w14:paraId="74B1C865" w14:textId="204545BE" w:rsidR="00EF5FC6" w:rsidRPr="002D50E9" w:rsidRDefault="00452215" w:rsidP="00EF5FC6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Emissions from biogenic carbon </w:t>
      </w:r>
      <w:proofErr w:type="gramStart"/>
      <w:r w:rsidRPr="000602BB">
        <w:rPr>
          <w:rFonts w:asciiTheme="majorHAnsi" w:hAnsiTheme="majorHAnsi"/>
          <w:color w:val="000000"/>
        </w:rPr>
        <w:t>are not required to be reported</w:t>
      </w:r>
      <w:proofErr w:type="gramEnd"/>
      <w:r w:rsidRPr="000602BB">
        <w:rPr>
          <w:rFonts w:asciiTheme="majorHAnsi" w:hAnsiTheme="majorHAnsi"/>
          <w:color w:val="000000"/>
        </w:rPr>
        <w:t xml:space="preserve">. Where they are reported, this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categorized separately and will not be counted in emissions totals.</w:t>
      </w:r>
      <w:bookmarkStart w:id="15" w:name="_GoBack"/>
      <w:bookmarkEnd w:id="15"/>
    </w:p>
    <w:sectPr w:rsidR="00EF5FC6" w:rsidRPr="002D50E9" w:rsidSect="0070167C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06E05" w14:textId="77777777" w:rsidR="00B70B2F" w:rsidRDefault="00B70B2F">
      <w:pPr>
        <w:spacing w:after="0" w:line="240" w:lineRule="auto"/>
      </w:pPr>
      <w:r>
        <w:separator/>
      </w:r>
    </w:p>
  </w:endnote>
  <w:endnote w:type="continuationSeparator" w:id="0">
    <w:p w14:paraId="3DAA0B92" w14:textId="77777777" w:rsidR="00B70B2F" w:rsidRDefault="00B7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957D2" w14:textId="77777777" w:rsidR="00B70B2F" w:rsidRDefault="00B70B2F">
      <w:pPr>
        <w:spacing w:after="0" w:line="240" w:lineRule="auto"/>
      </w:pPr>
      <w:r>
        <w:separator/>
      </w:r>
    </w:p>
  </w:footnote>
  <w:footnote w:type="continuationSeparator" w:id="0">
    <w:p w14:paraId="4D1DA8B4" w14:textId="77777777" w:rsidR="00B70B2F" w:rsidRDefault="00B70B2F">
      <w:pPr>
        <w:spacing w:after="0" w:line="240" w:lineRule="auto"/>
      </w:pPr>
      <w:r>
        <w:continuationSeparator/>
      </w:r>
    </w:p>
  </w:footnote>
  <w:footnote w:id="1">
    <w:p w14:paraId="4F9EF47C" w14:textId="1FFC08CB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Considering that the IPCC is busy revisiting the 2006 IPCC Guidelines, changes will also be studied and accommodated for the GCoM, as relevant.</w:t>
      </w:r>
    </w:p>
  </w:footnote>
  <w:footnote w:id="2">
    <w:p w14:paraId="20160FBE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Inventory should be submitted to the GCoM secretariat where a Regional or National Covenant does not exist.</w:t>
      </w:r>
    </w:p>
  </w:footnote>
  <w:footnote w:id="3">
    <w:p w14:paraId="0966A592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Notation keys should be used when an emission source is not occurring, included elsewhere, not estimated, or confidential. </w:t>
      </w:r>
    </w:p>
  </w:footnote>
  <w:footnote w:id="4">
    <w:p w14:paraId="41EA98B2" w14:textId="07BA343D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Activity data is a quantitative measure of a level of activity that results in GHG emissions taking place during a given period of time (e.g., volume of gas used, kilometres driven, tons of solid waste sent to landfill, etc.). </w:t>
      </w:r>
    </w:p>
  </w:footnote>
  <w:footnote w:id="5">
    <w:p w14:paraId="5FF0C984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Please refer to 2006 IPCC Guidelines for National Greenhouse Gas Inventories for more details on these sectors.</w:t>
      </w:r>
    </w:p>
  </w:footnote>
  <w:footnote w:id="6">
    <w:p w14:paraId="336FB986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This includes all emissions from energy use in industrial facilities, construction activities, and energy industries, except emissions from the generation of energy for grid-distributed electricity, steam, heat and cooling.</w:t>
      </w:r>
    </w:p>
  </w:footnote>
  <w:footnote w:id="7">
    <w:p w14:paraId="602D2B16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Please refer to the </w:t>
      </w:r>
      <w:r>
        <w:rPr>
          <w:i/>
          <w:color w:val="000000"/>
          <w:sz w:val="18"/>
          <w:szCs w:val="18"/>
        </w:rPr>
        <w:t>Global Protocol for Community-Scale Greenhouse Gas Emission Inventories (GPC)</w:t>
      </w:r>
      <w:r>
        <w:rPr>
          <w:color w:val="000000"/>
          <w:sz w:val="18"/>
          <w:szCs w:val="18"/>
        </w:rPr>
        <w:t xml:space="preserve"> </w:t>
      </w:r>
      <w:r w:rsidRPr="00BB3DE7">
        <w:rPr>
          <w:iCs/>
          <w:color w:val="000000"/>
          <w:sz w:val="18"/>
          <w:szCs w:val="18"/>
        </w:rPr>
        <w:t>or the</w:t>
      </w:r>
      <w:r>
        <w:rPr>
          <w:i/>
          <w:color w:val="000000"/>
          <w:sz w:val="18"/>
          <w:szCs w:val="18"/>
        </w:rPr>
        <w:t xml:space="preserve"> E</w:t>
      </w:r>
      <w:r>
        <w:rPr>
          <w:i/>
          <w:sz w:val="18"/>
          <w:szCs w:val="18"/>
        </w:rPr>
        <w:t>uropean</w:t>
      </w:r>
      <w:r>
        <w:rPr>
          <w:i/>
          <w:color w:val="000000"/>
          <w:sz w:val="18"/>
          <w:szCs w:val="18"/>
        </w:rPr>
        <w:t xml:space="preserve"> CoM </w:t>
      </w:r>
      <w:r>
        <w:rPr>
          <w:color w:val="000000"/>
          <w:sz w:val="18"/>
          <w:szCs w:val="18"/>
        </w:rPr>
        <w:t>Guidebook for further details on these methodological approaches.</w:t>
      </w:r>
    </w:p>
  </w:footnote>
  <w:footnote w:id="8">
    <w:p w14:paraId="3FDAC9ED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For example, household waste sent for incineration; or sludge from </w:t>
      </w:r>
      <w:r>
        <w:rPr>
          <w:sz w:val="18"/>
          <w:szCs w:val="18"/>
        </w:rPr>
        <w:t>wastewater</w:t>
      </w:r>
      <w:r>
        <w:rPr>
          <w:color w:val="000000"/>
          <w:sz w:val="18"/>
          <w:szCs w:val="18"/>
        </w:rPr>
        <w:t>.</w:t>
      </w:r>
    </w:p>
  </w:footnote>
  <w:footnote w:id="9">
    <w:p w14:paraId="47816842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When reporting IPPU, it will include </w:t>
      </w:r>
      <w:r>
        <w:rPr>
          <w:sz w:val="18"/>
          <w:szCs w:val="18"/>
        </w:rPr>
        <w:t>hydro fluoro</w:t>
      </w:r>
      <w:r>
        <w:rPr>
          <w:color w:val="000000"/>
          <w:sz w:val="18"/>
          <w:szCs w:val="18"/>
        </w:rPr>
        <w:t xml:space="preserve"> carbons (HFCs), </w:t>
      </w:r>
      <w:r>
        <w:rPr>
          <w:sz w:val="18"/>
          <w:szCs w:val="18"/>
        </w:rPr>
        <w:t>perfluorocarbons</w:t>
      </w:r>
      <w:r>
        <w:rPr>
          <w:color w:val="000000"/>
          <w:sz w:val="18"/>
          <w:szCs w:val="18"/>
        </w:rPr>
        <w:t xml:space="preserve"> (PFCs), sulfur hexafluoride (SF</w:t>
      </w:r>
      <w:r>
        <w:rPr>
          <w:color w:val="000000"/>
          <w:sz w:val="18"/>
          <w:szCs w:val="18"/>
          <w:vertAlign w:val="subscript"/>
        </w:rPr>
        <w:t>6</w:t>
      </w:r>
      <w:r>
        <w:rPr>
          <w:color w:val="000000"/>
          <w:sz w:val="18"/>
          <w:szCs w:val="18"/>
        </w:rPr>
        <w:t>), and nitrogen trifluoride (NF</w:t>
      </w:r>
      <w:r>
        <w:rPr>
          <w:color w:val="000000"/>
          <w:sz w:val="18"/>
          <w:szCs w:val="18"/>
          <w:vertAlign w:val="subscript"/>
        </w:rPr>
        <w:t>3</w:t>
      </w:r>
      <w:r>
        <w:rPr>
          <w:color w:val="000000"/>
          <w:sz w:val="18"/>
          <w:szCs w:val="18"/>
        </w:rPr>
        <w:t>).</w:t>
      </w:r>
    </w:p>
  </w:footnote>
  <w:footnote w:id="10">
    <w:p w14:paraId="4A8979AD" w14:textId="77777777" w:rsidR="00B70B2F" w:rsidRDefault="00B7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CO</w:t>
      </w:r>
      <w:r>
        <w:rPr>
          <w:color w:val="000000"/>
          <w:sz w:val="18"/>
          <w:szCs w:val="18"/>
          <w:vertAlign w:val="subscript"/>
        </w:rPr>
        <w:t>2</w:t>
      </w:r>
      <w:r>
        <w:rPr>
          <w:color w:val="000000"/>
          <w:sz w:val="18"/>
          <w:szCs w:val="18"/>
        </w:rPr>
        <w:t xml:space="preserve"> equivalent can be determined by multiplying each gas by its respective global warming potential (GWP). The IPCC Assessment Report used for the GWP factors should be clearly referenced (i.e. FAR; SAR; TAR; AR4; AR5).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1A2"/>
    <w:multiLevelType w:val="hybridMultilevel"/>
    <w:tmpl w:val="9AD8E1D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B2735"/>
    <w:multiLevelType w:val="hybridMultilevel"/>
    <w:tmpl w:val="BF8879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536"/>
    <w:multiLevelType w:val="multilevel"/>
    <w:tmpl w:val="722095C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7200ED4"/>
    <w:multiLevelType w:val="hybridMultilevel"/>
    <w:tmpl w:val="A67EC96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F2F17"/>
    <w:multiLevelType w:val="hybridMultilevel"/>
    <w:tmpl w:val="992E2A4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E080B"/>
    <w:multiLevelType w:val="hybridMultilevel"/>
    <w:tmpl w:val="1922832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56723"/>
    <w:multiLevelType w:val="multilevel"/>
    <w:tmpl w:val="002618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E127B02"/>
    <w:multiLevelType w:val="multilevel"/>
    <w:tmpl w:val="C3F4F5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3E14BED"/>
    <w:multiLevelType w:val="hybridMultilevel"/>
    <w:tmpl w:val="21DEC6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6024D"/>
    <w:multiLevelType w:val="multilevel"/>
    <w:tmpl w:val="D0EC65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F8C03AB"/>
    <w:multiLevelType w:val="hybridMultilevel"/>
    <w:tmpl w:val="ACDAB79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24FEF"/>
    <w:multiLevelType w:val="multilevel"/>
    <w:tmpl w:val="6E1469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5B66FF3"/>
    <w:multiLevelType w:val="multilevel"/>
    <w:tmpl w:val="2AF2D8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2273B9"/>
    <w:multiLevelType w:val="multilevel"/>
    <w:tmpl w:val="B0E6E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7745A5E"/>
    <w:multiLevelType w:val="multilevel"/>
    <w:tmpl w:val="24C8959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DF832A6"/>
    <w:multiLevelType w:val="multilevel"/>
    <w:tmpl w:val="B40E25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FF21878"/>
    <w:multiLevelType w:val="multilevel"/>
    <w:tmpl w:val="CCDEE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312053A"/>
    <w:multiLevelType w:val="multilevel"/>
    <w:tmpl w:val="444472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5EC4A38"/>
    <w:multiLevelType w:val="multilevel"/>
    <w:tmpl w:val="0E78505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688319F"/>
    <w:multiLevelType w:val="multilevel"/>
    <w:tmpl w:val="BEE868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7740D40"/>
    <w:multiLevelType w:val="multilevel"/>
    <w:tmpl w:val="EE54D18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E8D7880"/>
    <w:multiLevelType w:val="hybridMultilevel"/>
    <w:tmpl w:val="0FFC8F1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2709E"/>
    <w:multiLevelType w:val="hybridMultilevel"/>
    <w:tmpl w:val="746270A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536AC"/>
    <w:multiLevelType w:val="multilevel"/>
    <w:tmpl w:val="4678BC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E85083F"/>
    <w:multiLevelType w:val="multilevel"/>
    <w:tmpl w:val="F8DEE4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E920924"/>
    <w:multiLevelType w:val="hybridMultilevel"/>
    <w:tmpl w:val="A134AF7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B86AB8"/>
    <w:multiLevelType w:val="multilevel"/>
    <w:tmpl w:val="AB80C5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5EB61C8"/>
    <w:multiLevelType w:val="hybridMultilevel"/>
    <w:tmpl w:val="F8CC69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464CC"/>
    <w:multiLevelType w:val="hybridMultilevel"/>
    <w:tmpl w:val="4B0206E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B0E41"/>
    <w:multiLevelType w:val="multilevel"/>
    <w:tmpl w:val="FC98188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20D59BE"/>
    <w:multiLevelType w:val="multilevel"/>
    <w:tmpl w:val="3528AB9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3113E6C"/>
    <w:multiLevelType w:val="hybridMultilevel"/>
    <w:tmpl w:val="1144DAB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B410C"/>
    <w:multiLevelType w:val="multilevel"/>
    <w:tmpl w:val="78CA609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411193E"/>
    <w:multiLevelType w:val="multilevel"/>
    <w:tmpl w:val="4914E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56513CE"/>
    <w:multiLevelType w:val="multilevel"/>
    <w:tmpl w:val="CEF6322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73101B6"/>
    <w:multiLevelType w:val="multilevel"/>
    <w:tmpl w:val="81F4EE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8C21B9E"/>
    <w:multiLevelType w:val="multilevel"/>
    <w:tmpl w:val="7304F8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90A67F4"/>
    <w:multiLevelType w:val="hybridMultilevel"/>
    <w:tmpl w:val="9CDE6F2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2A34E5"/>
    <w:multiLevelType w:val="multilevel"/>
    <w:tmpl w:val="E8F45E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93E45FF"/>
    <w:multiLevelType w:val="multilevel"/>
    <w:tmpl w:val="33D24B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6A2304B9"/>
    <w:multiLevelType w:val="hybridMultilevel"/>
    <w:tmpl w:val="966AE6B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AD2ADC"/>
    <w:multiLevelType w:val="multilevel"/>
    <w:tmpl w:val="D8026D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49B2762"/>
    <w:multiLevelType w:val="multilevel"/>
    <w:tmpl w:val="1600589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5CC69A2"/>
    <w:multiLevelType w:val="hybridMultilevel"/>
    <w:tmpl w:val="92C059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2F2807"/>
    <w:multiLevelType w:val="multilevel"/>
    <w:tmpl w:val="911204E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78E12674"/>
    <w:multiLevelType w:val="multilevel"/>
    <w:tmpl w:val="F83803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93E0D5E"/>
    <w:multiLevelType w:val="multilevel"/>
    <w:tmpl w:val="1FC415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7D464A2F"/>
    <w:multiLevelType w:val="multilevel"/>
    <w:tmpl w:val="54DA92F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7FD60AA1"/>
    <w:multiLevelType w:val="multilevel"/>
    <w:tmpl w:val="0AD879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9"/>
  </w:num>
  <w:num w:numId="3">
    <w:abstractNumId w:val="48"/>
  </w:num>
  <w:num w:numId="4">
    <w:abstractNumId w:val="34"/>
  </w:num>
  <w:num w:numId="5">
    <w:abstractNumId w:val="36"/>
  </w:num>
  <w:num w:numId="6">
    <w:abstractNumId w:val="47"/>
  </w:num>
  <w:num w:numId="7">
    <w:abstractNumId w:val="32"/>
  </w:num>
  <w:num w:numId="8">
    <w:abstractNumId w:val="41"/>
  </w:num>
  <w:num w:numId="9">
    <w:abstractNumId w:val="2"/>
  </w:num>
  <w:num w:numId="10">
    <w:abstractNumId w:val="9"/>
  </w:num>
  <w:num w:numId="11">
    <w:abstractNumId w:val="30"/>
  </w:num>
  <w:num w:numId="12">
    <w:abstractNumId w:val="26"/>
  </w:num>
  <w:num w:numId="13">
    <w:abstractNumId w:val="7"/>
  </w:num>
  <w:num w:numId="14">
    <w:abstractNumId w:val="44"/>
  </w:num>
  <w:num w:numId="15">
    <w:abstractNumId w:val="18"/>
  </w:num>
  <w:num w:numId="16">
    <w:abstractNumId w:val="14"/>
  </w:num>
  <w:num w:numId="17">
    <w:abstractNumId w:val="13"/>
  </w:num>
  <w:num w:numId="18">
    <w:abstractNumId w:val="23"/>
  </w:num>
  <w:num w:numId="19">
    <w:abstractNumId w:val="46"/>
  </w:num>
  <w:num w:numId="20">
    <w:abstractNumId w:val="29"/>
  </w:num>
  <w:num w:numId="21">
    <w:abstractNumId w:val="17"/>
  </w:num>
  <w:num w:numId="22">
    <w:abstractNumId w:val="20"/>
  </w:num>
  <w:num w:numId="23">
    <w:abstractNumId w:val="35"/>
  </w:num>
  <w:num w:numId="24">
    <w:abstractNumId w:val="42"/>
  </w:num>
  <w:num w:numId="25">
    <w:abstractNumId w:val="16"/>
  </w:num>
  <w:num w:numId="26">
    <w:abstractNumId w:val="38"/>
  </w:num>
  <w:num w:numId="27">
    <w:abstractNumId w:val="11"/>
  </w:num>
  <w:num w:numId="28">
    <w:abstractNumId w:val="24"/>
  </w:num>
  <w:num w:numId="29">
    <w:abstractNumId w:val="12"/>
  </w:num>
  <w:num w:numId="30">
    <w:abstractNumId w:val="33"/>
  </w:num>
  <w:num w:numId="31">
    <w:abstractNumId w:val="39"/>
  </w:num>
  <w:num w:numId="32">
    <w:abstractNumId w:val="45"/>
  </w:num>
  <w:num w:numId="33">
    <w:abstractNumId w:val="5"/>
  </w:num>
  <w:num w:numId="34">
    <w:abstractNumId w:val="4"/>
  </w:num>
  <w:num w:numId="35">
    <w:abstractNumId w:val="37"/>
  </w:num>
  <w:num w:numId="36">
    <w:abstractNumId w:val="31"/>
  </w:num>
  <w:num w:numId="37">
    <w:abstractNumId w:val="43"/>
  </w:num>
  <w:num w:numId="38">
    <w:abstractNumId w:val="40"/>
  </w:num>
  <w:num w:numId="39">
    <w:abstractNumId w:val="10"/>
  </w:num>
  <w:num w:numId="40">
    <w:abstractNumId w:val="3"/>
  </w:num>
  <w:num w:numId="41">
    <w:abstractNumId w:val="1"/>
  </w:num>
  <w:num w:numId="42">
    <w:abstractNumId w:val="25"/>
  </w:num>
  <w:num w:numId="43">
    <w:abstractNumId w:val="27"/>
  </w:num>
  <w:num w:numId="44">
    <w:abstractNumId w:val="22"/>
  </w:num>
  <w:num w:numId="45">
    <w:abstractNumId w:val="28"/>
  </w:num>
  <w:num w:numId="46">
    <w:abstractNumId w:val="21"/>
  </w:num>
  <w:num w:numId="47">
    <w:abstractNumId w:val="0"/>
  </w:num>
  <w:num w:numId="48">
    <w:abstractNumId w:val="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91AD6"/>
    <w:rsid w:val="000060C8"/>
    <w:rsid w:val="00010C93"/>
    <w:rsid w:val="0001471A"/>
    <w:rsid w:val="00015EA4"/>
    <w:rsid w:val="00022C6F"/>
    <w:rsid w:val="00024FD0"/>
    <w:rsid w:val="00036FBE"/>
    <w:rsid w:val="00041DB4"/>
    <w:rsid w:val="000602BB"/>
    <w:rsid w:val="00080BA9"/>
    <w:rsid w:val="00087D10"/>
    <w:rsid w:val="00090C00"/>
    <w:rsid w:val="000A2E51"/>
    <w:rsid w:val="000B09AE"/>
    <w:rsid w:val="000C1A73"/>
    <w:rsid w:val="000C3717"/>
    <w:rsid w:val="000C686E"/>
    <w:rsid w:val="000D0EEC"/>
    <w:rsid w:val="000E247A"/>
    <w:rsid w:val="0010084C"/>
    <w:rsid w:val="00107CA4"/>
    <w:rsid w:val="00114DE3"/>
    <w:rsid w:val="00126130"/>
    <w:rsid w:val="00144155"/>
    <w:rsid w:val="00164F50"/>
    <w:rsid w:val="00186C63"/>
    <w:rsid w:val="00191AD6"/>
    <w:rsid w:val="00197E9C"/>
    <w:rsid w:val="001B61BF"/>
    <w:rsid w:val="001D3DE8"/>
    <w:rsid w:val="001D5D81"/>
    <w:rsid w:val="001E1D5F"/>
    <w:rsid w:val="001E7982"/>
    <w:rsid w:val="00204280"/>
    <w:rsid w:val="002047C2"/>
    <w:rsid w:val="00215914"/>
    <w:rsid w:val="00267FD1"/>
    <w:rsid w:val="00291890"/>
    <w:rsid w:val="00293FD4"/>
    <w:rsid w:val="00296A7D"/>
    <w:rsid w:val="00297953"/>
    <w:rsid w:val="002A2EBD"/>
    <w:rsid w:val="002A7146"/>
    <w:rsid w:val="002C1B89"/>
    <w:rsid w:val="002D10E7"/>
    <w:rsid w:val="002D4591"/>
    <w:rsid w:val="002D50E9"/>
    <w:rsid w:val="002E056D"/>
    <w:rsid w:val="002F04B5"/>
    <w:rsid w:val="00337688"/>
    <w:rsid w:val="00345EFD"/>
    <w:rsid w:val="0035285E"/>
    <w:rsid w:val="003641A1"/>
    <w:rsid w:val="00372D26"/>
    <w:rsid w:val="0037562B"/>
    <w:rsid w:val="003A7BEC"/>
    <w:rsid w:val="00426672"/>
    <w:rsid w:val="00452215"/>
    <w:rsid w:val="0045227C"/>
    <w:rsid w:val="00476762"/>
    <w:rsid w:val="00487CDE"/>
    <w:rsid w:val="004A44F5"/>
    <w:rsid w:val="004A7E3A"/>
    <w:rsid w:val="004B5FB8"/>
    <w:rsid w:val="004E2BEE"/>
    <w:rsid w:val="00510220"/>
    <w:rsid w:val="00536C63"/>
    <w:rsid w:val="005603C5"/>
    <w:rsid w:val="005B4BBD"/>
    <w:rsid w:val="005F2322"/>
    <w:rsid w:val="0062040F"/>
    <w:rsid w:val="00627C86"/>
    <w:rsid w:val="00680415"/>
    <w:rsid w:val="006B60C5"/>
    <w:rsid w:val="006F1E0D"/>
    <w:rsid w:val="0070167C"/>
    <w:rsid w:val="007371AA"/>
    <w:rsid w:val="00750008"/>
    <w:rsid w:val="00760844"/>
    <w:rsid w:val="00772F1A"/>
    <w:rsid w:val="00784E3F"/>
    <w:rsid w:val="0079705C"/>
    <w:rsid w:val="007C57D6"/>
    <w:rsid w:val="00802596"/>
    <w:rsid w:val="00816DD6"/>
    <w:rsid w:val="008232D0"/>
    <w:rsid w:val="00827E5D"/>
    <w:rsid w:val="00840399"/>
    <w:rsid w:val="008450BC"/>
    <w:rsid w:val="008770B7"/>
    <w:rsid w:val="008966C0"/>
    <w:rsid w:val="008A1EB4"/>
    <w:rsid w:val="008A3A80"/>
    <w:rsid w:val="008B1401"/>
    <w:rsid w:val="008C4C96"/>
    <w:rsid w:val="008D01F9"/>
    <w:rsid w:val="008F72F8"/>
    <w:rsid w:val="0093513D"/>
    <w:rsid w:val="0093686D"/>
    <w:rsid w:val="00943642"/>
    <w:rsid w:val="00976546"/>
    <w:rsid w:val="00976B74"/>
    <w:rsid w:val="00983764"/>
    <w:rsid w:val="009B0035"/>
    <w:rsid w:val="009E2589"/>
    <w:rsid w:val="009E4245"/>
    <w:rsid w:val="00A01E42"/>
    <w:rsid w:val="00A026FA"/>
    <w:rsid w:val="00A33DF0"/>
    <w:rsid w:val="00A373EE"/>
    <w:rsid w:val="00A57338"/>
    <w:rsid w:val="00A674B2"/>
    <w:rsid w:val="00A81261"/>
    <w:rsid w:val="00AB53D5"/>
    <w:rsid w:val="00AC231E"/>
    <w:rsid w:val="00AF463C"/>
    <w:rsid w:val="00B00597"/>
    <w:rsid w:val="00B019FF"/>
    <w:rsid w:val="00B05DF5"/>
    <w:rsid w:val="00B12A44"/>
    <w:rsid w:val="00B14511"/>
    <w:rsid w:val="00B671DB"/>
    <w:rsid w:val="00B705CF"/>
    <w:rsid w:val="00B70B2F"/>
    <w:rsid w:val="00B72FF1"/>
    <w:rsid w:val="00BB3DE7"/>
    <w:rsid w:val="00BB63ED"/>
    <w:rsid w:val="00BB6454"/>
    <w:rsid w:val="00BC340F"/>
    <w:rsid w:val="00BD0AD4"/>
    <w:rsid w:val="00BE2608"/>
    <w:rsid w:val="00BF0AE8"/>
    <w:rsid w:val="00C04E65"/>
    <w:rsid w:val="00C12A67"/>
    <w:rsid w:val="00C54CFE"/>
    <w:rsid w:val="00C67F0A"/>
    <w:rsid w:val="00C90F27"/>
    <w:rsid w:val="00CB66BA"/>
    <w:rsid w:val="00CC48FA"/>
    <w:rsid w:val="00CD6FBA"/>
    <w:rsid w:val="00CF6966"/>
    <w:rsid w:val="00D30894"/>
    <w:rsid w:val="00D35421"/>
    <w:rsid w:val="00D35B90"/>
    <w:rsid w:val="00D42FFC"/>
    <w:rsid w:val="00D566F5"/>
    <w:rsid w:val="00D75E8A"/>
    <w:rsid w:val="00DB647D"/>
    <w:rsid w:val="00DB7513"/>
    <w:rsid w:val="00DE1CFC"/>
    <w:rsid w:val="00DE74F0"/>
    <w:rsid w:val="00DF727A"/>
    <w:rsid w:val="00E0409D"/>
    <w:rsid w:val="00E073D7"/>
    <w:rsid w:val="00E26AE4"/>
    <w:rsid w:val="00E335D4"/>
    <w:rsid w:val="00E349BB"/>
    <w:rsid w:val="00E45A1D"/>
    <w:rsid w:val="00E820D7"/>
    <w:rsid w:val="00EA0A20"/>
    <w:rsid w:val="00EA2C5D"/>
    <w:rsid w:val="00EB032C"/>
    <w:rsid w:val="00EB2328"/>
    <w:rsid w:val="00EC05CB"/>
    <w:rsid w:val="00EC63C6"/>
    <w:rsid w:val="00ED17DB"/>
    <w:rsid w:val="00ED66F2"/>
    <w:rsid w:val="00EF5FC6"/>
    <w:rsid w:val="00F0336F"/>
    <w:rsid w:val="00F040B2"/>
    <w:rsid w:val="00F119BD"/>
    <w:rsid w:val="00F35229"/>
    <w:rsid w:val="00F42D17"/>
    <w:rsid w:val="00F506FA"/>
    <w:rsid w:val="00F5417B"/>
    <w:rsid w:val="00F54C98"/>
    <w:rsid w:val="00F5685B"/>
    <w:rsid w:val="00F60E23"/>
    <w:rsid w:val="00F77501"/>
    <w:rsid w:val="00FB329D"/>
    <w:rsid w:val="00FE02E0"/>
    <w:rsid w:val="00FE62FF"/>
    <w:rsid w:val="00FF636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F9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pBdr>
        <w:bottom w:val="dotted" w:sz="4" w:space="1" w:color="0070C0"/>
      </w:pBdr>
      <w:spacing w:before="200" w:line="240" w:lineRule="auto"/>
      <w:ind w:left="360" w:hanging="360"/>
      <w:contextualSpacing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602BB"/>
    <w:pPr>
      <w:spacing w:after="0" w:line="240" w:lineRule="auto"/>
    </w:pPr>
    <w:rPr>
      <w:rFonts w:eastAsia="SimSun" w:cs="Times New Roman"/>
      <w:lang w:val="el-GR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"/>
    <w:basedOn w:val="Normal"/>
    <w:uiPriority w:val="34"/>
    <w:qFormat/>
    <w:rsid w:val="000602BB"/>
    <w:pPr>
      <w:ind w:left="720"/>
      <w:contextualSpacing/>
    </w:pPr>
    <w:rPr>
      <w:rFonts w:asciiTheme="minorHAnsi" w:eastAsia="SimSun" w:hAnsiTheme="minorHAnsi" w:cstheme="minorBidi"/>
      <w:lang w:val="el-GR"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D35421"/>
    <w:pPr>
      <w:spacing w:after="0" w:line="240" w:lineRule="auto"/>
    </w:pPr>
    <w:rPr>
      <w:rFonts w:asciiTheme="majorHAnsi" w:eastAsia="SimSun" w:hAnsiTheme="majorHAnsi" w:cs="Times New Roman"/>
      <w:sz w:val="18"/>
      <w:szCs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5421"/>
    <w:rPr>
      <w:rFonts w:asciiTheme="majorHAnsi" w:eastAsia="SimSun" w:hAnsiTheme="majorHAnsi" w:cs="Times New Roman"/>
      <w:sz w:val="18"/>
      <w:szCs w:val="18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0602BB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0602BB"/>
    <w:rPr>
      <w:b/>
      <w:bCs/>
      <w:i/>
      <w:iCs/>
      <w:color w:val="4F81BD" w:themeColor="accent1"/>
    </w:rPr>
  </w:style>
  <w:style w:type="table" w:customStyle="1" w:styleId="TableGrid2">
    <w:name w:val="Table Grid2"/>
    <w:basedOn w:val="TableNormal"/>
    <w:next w:val="TableGrid"/>
    <w:uiPriority w:val="59"/>
    <w:rsid w:val="000602BB"/>
    <w:pPr>
      <w:spacing w:after="0" w:line="240" w:lineRule="auto"/>
    </w:pPr>
    <w:rPr>
      <w:rFonts w:eastAsia="SimSun" w:cs="Times New Roman"/>
      <w:lang w:val="el-GR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602BB"/>
    <w:rPr>
      <w:rFonts w:ascii="Arial" w:eastAsia="Arial" w:hAnsi="Arial" w:cs="Arial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373EE"/>
    <w:pPr>
      <w:tabs>
        <w:tab w:val="right" w:pos="9016"/>
      </w:tabs>
      <w:spacing w:after="100"/>
      <w:ind w:left="220"/>
    </w:pPr>
    <w:rPr>
      <w:rFonts w:asciiTheme="majorHAnsi" w:hAnsiTheme="majorHAnsi"/>
      <w:noProof/>
    </w:rPr>
  </w:style>
  <w:style w:type="character" w:styleId="Hyperlink">
    <w:name w:val="Hyperlink"/>
    <w:basedOn w:val="DefaultParagraphFont"/>
    <w:uiPriority w:val="99"/>
    <w:unhideWhenUsed/>
    <w:rsid w:val="000602BB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2F1A"/>
  </w:style>
  <w:style w:type="character" w:customStyle="1" w:styleId="DateChar">
    <w:name w:val="Date Char"/>
    <w:basedOn w:val="DefaultParagraphFont"/>
    <w:link w:val="Date"/>
    <w:uiPriority w:val="99"/>
    <w:semiHidden/>
    <w:rsid w:val="00772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0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20"/>
  </w:style>
  <w:style w:type="paragraph" w:styleId="Footer">
    <w:name w:val="footer"/>
    <w:basedOn w:val="Normal"/>
    <w:link w:val="FooterChar"/>
    <w:uiPriority w:val="99"/>
    <w:unhideWhenUsed/>
    <w:rsid w:val="00510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20"/>
  </w:style>
  <w:style w:type="character" w:styleId="FollowedHyperlink">
    <w:name w:val="FollowedHyperlink"/>
    <w:basedOn w:val="DefaultParagraphFont"/>
    <w:uiPriority w:val="99"/>
    <w:semiHidden/>
    <w:unhideWhenUsed/>
    <w:rsid w:val="002F04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pBdr>
        <w:bottom w:val="dotted" w:sz="4" w:space="1" w:color="0070C0"/>
      </w:pBdr>
      <w:spacing w:before="200" w:line="240" w:lineRule="auto"/>
      <w:ind w:left="360" w:hanging="360"/>
      <w:contextualSpacing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602BB"/>
    <w:pPr>
      <w:spacing w:after="0" w:line="240" w:lineRule="auto"/>
    </w:pPr>
    <w:rPr>
      <w:rFonts w:eastAsia="SimSun" w:cs="Times New Roman"/>
      <w:lang w:val="el-GR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"/>
    <w:basedOn w:val="Normal"/>
    <w:uiPriority w:val="34"/>
    <w:qFormat/>
    <w:rsid w:val="000602BB"/>
    <w:pPr>
      <w:ind w:left="720"/>
      <w:contextualSpacing/>
    </w:pPr>
    <w:rPr>
      <w:rFonts w:asciiTheme="minorHAnsi" w:eastAsia="SimSun" w:hAnsiTheme="minorHAnsi" w:cstheme="minorBidi"/>
      <w:lang w:val="el-GR"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D35421"/>
    <w:pPr>
      <w:spacing w:after="0" w:line="240" w:lineRule="auto"/>
    </w:pPr>
    <w:rPr>
      <w:rFonts w:asciiTheme="majorHAnsi" w:eastAsia="SimSun" w:hAnsiTheme="majorHAnsi" w:cs="Times New Roman"/>
      <w:sz w:val="18"/>
      <w:szCs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5421"/>
    <w:rPr>
      <w:rFonts w:asciiTheme="majorHAnsi" w:eastAsia="SimSun" w:hAnsiTheme="majorHAnsi" w:cs="Times New Roman"/>
      <w:sz w:val="18"/>
      <w:szCs w:val="18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0602BB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0602BB"/>
    <w:rPr>
      <w:b/>
      <w:bCs/>
      <w:i/>
      <w:iCs/>
      <w:color w:val="4F81BD" w:themeColor="accent1"/>
    </w:rPr>
  </w:style>
  <w:style w:type="table" w:customStyle="1" w:styleId="TableGrid2">
    <w:name w:val="Table Grid2"/>
    <w:basedOn w:val="TableNormal"/>
    <w:next w:val="TableGrid"/>
    <w:uiPriority w:val="59"/>
    <w:rsid w:val="000602BB"/>
    <w:pPr>
      <w:spacing w:after="0" w:line="240" w:lineRule="auto"/>
    </w:pPr>
    <w:rPr>
      <w:rFonts w:eastAsia="SimSun" w:cs="Times New Roman"/>
      <w:lang w:val="el-GR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602BB"/>
    <w:rPr>
      <w:rFonts w:ascii="Arial" w:eastAsia="Arial" w:hAnsi="Arial" w:cs="Arial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373EE"/>
    <w:pPr>
      <w:tabs>
        <w:tab w:val="right" w:pos="9016"/>
      </w:tabs>
      <w:spacing w:after="100"/>
      <w:ind w:left="220"/>
    </w:pPr>
    <w:rPr>
      <w:rFonts w:asciiTheme="majorHAnsi" w:hAnsiTheme="majorHAnsi"/>
      <w:noProof/>
    </w:rPr>
  </w:style>
  <w:style w:type="character" w:styleId="Hyperlink">
    <w:name w:val="Hyperlink"/>
    <w:basedOn w:val="DefaultParagraphFont"/>
    <w:uiPriority w:val="99"/>
    <w:unhideWhenUsed/>
    <w:rsid w:val="000602BB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2F1A"/>
  </w:style>
  <w:style w:type="character" w:customStyle="1" w:styleId="DateChar">
    <w:name w:val="Date Char"/>
    <w:basedOn w:val="DefaultParagraphFont"/>
    <w:link w:val="Date"/>
    <w:uiPriority w:val="99"/>
    <w:semiHidden/>
    <w:rsid w:val="00772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0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20"/>
  </w:style>
  <w:style w:type="paragraph" w:styleId="Footer">
    <w:name w:val="footer"/>
    <w:basedOn w:val="Normal"/>
    <w:link w:val="FooterChar"/>
    <w:uiPriority w:val="99"/>
    <w:unhideWhenUsed/>
    <w:rsid w:val="00510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20"/>
  </w:style>
  <w:style w:type="character" w:styleId="FollowedHyperlink">
    <w:name w:val="FollowedHyperlink"/>
    <w:basedOn w:val="DefaultParagraphFont"/>
    <w:uiPriority w:val="99"/>
    <w:semiHidden/>
    <w:unhideWhenUsed/>
    <w:rsid w:val="002F04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DE0F-D6CC-3A4A-B1EC-CA553104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1410</Words>
  <Characters>8043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LP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traveler</dc:creator>
  <cp:lastModifiedBy>Steven</cp:lastModifiedBy>
  <cp:revision>2</cp:revision>
  <cp:lastPrinted>2019-06-11T01:31:00Z</cp:lastPrinted>
  <dcterms:created xsi:type="dcterms:W3CDTF">2020-08-26T02:08:00Z</dcterms:created>
  <dcterms:modified xsi:type="dcterms:W3CDTF">2020-08-26T02:08:00Z</dcterms:modified>
</cp:coreProperties>
</file>